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line="560" w:lineRule="exact"/>
        <w:ind w:firstLine="0" w:firstLineChars="0"/>
        <w:jc w:val="center"/>
        <w:rPr>
          <w:rFonts w:ascii="华文中宋" w:hAnsi="华文中宋" w:eastAsia="华文中宋" w:cs="华文中宋"/>
          <w:sz w:val="44"/>
          <w:szCs w:val="44"/>
        </w:rPr>
      </w:pPr>
      <w:r>
        <w:rPr>
          <w:rFonts w:hint="eastAsia" w:ascii="华文中宋" w:hAnsi="华文中宋" w:eastAsia="华文中宋" w:cs="华文中宋"/>
          <w:sz w:val="44"/>
          <w:szCs w:val="44"/>
        </w:rPr>
        <w:t>成人高等教育</w:t>
      </w:r>
      <w:r>
        <w:rPr>
          <w:rFonts w:hint="eastAsia" w:ascii="华文中宋" w:hAnsi="华文中宋" w:eastAsia="华文中宋" w:cs="华文中宋"/>
          <w:sz w:val="44"/>
          <w:szCs w:val="44"/>
          <w:lang w:val="en-US" w:eastAsia="zh-CN"/>
        </w:rPr>
        <w:t>会计学</w:t>
      </w:r>
      <w:r>
        <w:rPr>
          <w:rFonts w:hint="eastAsia" w:ascii="华文中宋" w:hAnsi="华文中宋" w:eastAsia="华文中宋" w:cs="华文中宋"/>
          <w:sz w:val="44"/>
          <w:szCs w:val="44"/>
        </w:rPr>
        <w:t>专业人才培养方案</w:t>
      </w:r>
    </w:p>
    <w:p>
      <w:pPr>
        <w:pStyle w:val="12"/>
        <w:spacing w:line="560" w:lineRule="exact"/>
        <w:ind w:firstLine="0" w:firstLineChars="0"/>
        <w:jc w:val="center"/>
        <w:rPr>
          <w:b w:val="0"/>
          <w:sz w:val="32"/>
        </w:rPr>
      </w:pPr>
      <w:r>
        <w:rPr>
          <w:rFonts w:hint="eastAsia"/>
          <w:b w:val="0"/>
          <w:sz w:val="32"/>
        </w:rPr>
        <w:t>办学层次：专升本</w:t>
      </w:r>
      <w:r>
        <w:rPr>
          <w:rFonts w:hint="eastAsia" w:ascii="黑体" w:hAnsi="黑体"/>
          <w:kern w:val="44"/>
          <w:sz w:val="32"/>
        </w:rPr>
        <w:t xml:space="preserve">     </w:t>
      </w:r>
      <w:r>
        <w:rPr>
          <w:rFonts w:hint="eastAsia"/>
          <w:b w:val="0"/>
          <w:sz w:val="32"/>
        </w:rPr>
        <w:t>学习形式：函授</w:t>
      </w:r>
    </w:p>
    <w:p>
      <w:pPr>
        <w:rPr>
          <w:rFonts w:hint="eastAsia" w:ascii="仿宋_GB2312" w:hAnsi="仿宋_GB2312" w:eastAsia="仿宋_GB2312" w:cs="仿宋_GB2312"/>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rPr>
      </w:pPr>
      <w:r>
        <w:rPr>
          <w:rFonts w:hint="eastAsia" w:ascii="黑体" w:hAnsi="黑体" w:eastAsia="黑体"/>
          <w:b w:val="0"/>
          <w:bCs w:val="0"/>
          <w:sz w:val="24"/>
          <w:szCs w:val="24"/>
        </w:rPr>
        <w:t>专业名称及代码</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highlight w:val="none"/>
        </w:rPr>
        <w:t>业名称：</w:t>
      </w:r>
      <w:r>
        <w:rPr>
          <w:rFonts w:hint="eastAsia" w:ascii="仿宋_GB2312" w:hAnsi="仿宋_GB2312" w:eastAsia="仿宋_GB2312" w:cs="仿宋_GB2312"/>
          <w:sz w:val="24"/>
          <w:szCs w:val="24"/>
          <w:highlight w:val="none"/>
          <w:lang w:val="en-US" w:eastAsia="zh-CN"/>
        </w:rPr>
        <w:t>会计学</w:t>
      </w:r>
      <w:r>
        <w:rPr>
          <w:rFonts w:hint="eastAsia" w:ascii="仿宋_GB2312" w:hAnsi="仿宋_GB2312" w:eastAsia="仿宋_GB2312" w:cs="仿宋_GB2312"/>
          <w:sz w:val="24"/>
          <w:szCs w:val="24"/>
          <w:highlight w:val="none"/>
        </w:rPr>
        <w:t xml:space="preserve">               </w:t>
      </w:r>
      <w:r>
        <w:rPr>
          <w:rFonts w:hint="eastAsia" w:ascii="仿宋_GB2312" w:hAnsi="仿宋_GB2312" w:eastAsia="仿宋_GB2312" w:cs="仿宋_GB2312"/>
          <w:sz w:val="24"/>
          <w:szCs w:val="24"/>
          <w:highlight w:val="none"/>
          <w:lang w:val="en-US" w:eastAsia="zh-CN"/>
        </w:rPr>
        <w:t xml:space="preserve">   </w:t>
      </w:r>
      <w:r>
        <w:rPr>
          <w:rFonts w:hint="eastAsia" w:ascii="仿宋_GB2312" w:hAnsi="仿宋_GB2312" w:eastAsia="仿宋_GB2312" w:cs="仿宋_GB2312"/>
          <w:sz w:val="24"/>
          <w:szCs w:val="24"/>
          <w:highlight w:val="none"/>
        </w:rPr>
        <w:t>专业门类：</w:t>
      </w:r>
      <w:r>
        <w:rPr>
          <w:rFonts w:hint="eastAsia" w:ascii="仿宋_GB2312" w:hAnsi="仿宋_GB2312" w:eastAsia="仿宋_GB2312" w:cs="仿宋_GB2312"/>
          <w:sz w:val="24"/>
          <w:szCs w:val="24"/>
          <w:highlight w:val="none"/>
          <w:lang w:val="en-US" w:eastAsia="zh-CN"/>
        </w:rPr>
        <w:t>工商管理类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专业代码：</w:t>
      </w:r>
      <w:r>
        <w:rPr>
          <w:rFonts w:hint="eastAsia" w:ascii="仿宋_GB2312" w:hAnsi="仿宋_GB2312" w:eastAsia="仿宋_GB2312" w:cs="仿宋_GB2312"/>
          <w:sz w:val="24"/>
          <w:szCs w:val="24"/>
          <w:highlight w:val="none"/>
          <w:lang w:val="en-US" w:eastAsia="zh-CN"/>
        </w:rPr>
        <w:t xml:space="preserve">120203K       </w:t>
      </w:r>
      <w:r>
        <w:rPr>
          <w:rFonts w:hint="eastAsia" w:ascii="仿宋_GB2312" w:hAnsi="仿宋_GB2312" w:eastAsia="仿宋_GB2312" w:cs="仿宋_GB2312"/>
          <w:sz w:val="24"/>
          <w:szCs w:val="24"/>
          <w:highlight w:val="none"/>
        </w:rPr>
        <w:t xml:space="preserve">          基本学制：2.5年</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授予学位：</w:t>
      </w:r>
      <w:r>
        <w:rPr>
          <w:rFonts w:hint="eastAsia" w:ascii="仿宋_GB2312" w:hAnsi="仿宋_GB2312" w:eastAsia="仿宋_GB2312" w:cs="仿宋_GB2312"/>
          <w:sz w:val="24"/>
          <w:szCs w:val="24"/>
          <w:highlight w:val="none"/>
          <w:lang w:val="en-US" w:eastAsia="zh-CN"/>
        </w:rPr>
        <w:t xml:space="preserve">管理学学士         </w:t>
      </w:r>
      <w:r>
        <w:rPr>
          <w:rFonts w:hint="eastAsia" w:ascii="仿宋_GB2312" w:hAnsi="仿宋_GB2312" w:eastAsia="仿宋_GB2312" w:cs="仿宋_GB2312"/>
          <w:sz w:val="24"/>
          <w:szCs w:val="24"/>
          <w:highlight w:val="none"/>
        </w:rPr>
        <w:t xml:space="preserve">     学习年限：2.5</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年</w:t>
      </w:r>
    </w:p>
    <w:p>
      <w:pPr>
        <w:pStyle w:val="2"/>
        <w:pageBreakBefore w:val="0"/>
        <w:kinsoku/>
        <w:wordWrap/>
        <w:overflowPunct/>
        <w:topLinePunct w:val="0"/>
        <w:autoSpaceDE/>
        <w:autoSpaceDN/>
        <w:bidi w:val="0"/>
        <w:adjustRightInd/>
        <w:snapToGrid/>
        <w:spacing w:line="500" w:lineRule="exact"/>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入学要求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学员必须取得经教育部审定核准的国民教育系列高等学校、高等教育自学考试机构颁发的专科以上毕业证书，且通过成人高考被我校录取。</w:t>
      </w:r>
    </w:p>
    <w:p>
      <w:pPr>
        <w:pStyle w:val="2"/>
        <w:pageBreakBefore w:val="0"/>
        <w:kinsoku/>
        <w:wordWrap/>
        <w:overflowPunct/>
        <w:topLinePunct w:val="0"/>
        <w:autoSpaceDE/>
        <w:autoSpaceDN/>
        <w:bidi w:val="0"/>
        <w:adjustRightInd/>
        <w:snapToGrid/>
        <w:spacing w:line="500" w:lineRule="exact"/>
        <w:rPr>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培养目标与</w:t>
      </w:r>
      <w:r>
        <w:rPr>
          <w:rFonts w:hint="eastAsia" w:ascii="黑体" w:hAnsi="黑体" w:eastAsia="黑体"/>
          <w:b w:val="0"/>
          <w:bCs w:val="0"/>
          <w:sz w:val="24"/>
          <w:szCs w:val="24"/>
          <w:highlight w:val="none"/>
          <w:lang w:val="en-US" w:eastAsia="zh-CN"/>
        </w:rPr>
        <w:t>培养</w:t>
      </w:r>
      <w:r>
        <w:rPr>
          <w:rFonts w:hint="eastAsia" w:ascii="黑体" w:hAnsi="黑体" w:eastAsia="黑体"/>
          <w:b w:val="0"/>
          <w:bCs w:val="0"/>
          <w:sz w:val="24"/>
          <w:szCs w:val="24"/>
          <w:highlight w:val="none"/>
        </w:rPr>
        <w:t>规格</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培养目标</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sz w:val="24"/>
          <w:szCs w:val="24"/>
          <w:highlight w:val="none"/>
          <w:lang w:val="en-US"/>
        </w:rPr>
      </w:pPr>
      <w:r>
        <w:rPr>
          <w:rFonts w:hint="eastAsia" w:ascii="仿宋_GB2312" w:hAnsi="仿宋_GB2312" w:eastAsia="仿宋_GB2312" w:cs="仿宋_GB2312"/>
          <w:b w:val="0"/>
          <w:bCs/>
          <w:sz w:val="24"/>
          <w:szCs w:val="24"/>
          <w:highlight w:val="none"/>
          <w:lang w:eastAsia="zh-CN"/>
        </w:rPr>
        <w:t>本专业培养德智体美劳全面发展，立足珠三角、服务粤港澳大湾区，适应经济社会发展需要，具备良好的道德品质、法律素养和科学精神，具备经济、管理、税法和金融等相关知识，外语水平和计算运用能力较强，系统掌握会计、财务管理及相关知识，具有较强的公司理财能力，能在公司企业、银行证券等单位从事公司理财和财务管理等项工作的高素质应用型人才。</w:t>
      </w:r>
    </w:p>
    <w:p>
      <w:pPr>
        <w:pStyle w:val="3"/>
        <w:pageBreakBefore w:val="0"/>
        <w:widowControl w:val="0"/>
        <w:numPr>
          <w:ilvl w:val="0"/>
          <w:numId w:val="2"/>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培养规格</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1.素质要求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（1）身心素质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具有健康的体魄和心理素质，能够正确认识自然规律和社会发展规律，正确处理人与自然和谐发展关系以及社会人际关系。</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（2）人文和科学素质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有良好的道德品质、科学精神、公民意识、法制观念，并具有积极向上的人生追求，符合社会进步要求的价值观念和高尚的爱国主义情怀，具有较强的事业心、责任感和严谨的工作态度，并具有遵纪守法、诚实守信和勇于奉献的精神。</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（3）专业素质</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备会计专门知识和技能，具有创新意识以及分析和解决相关问题能力，具有国际视野，系统掌握工商管理类专业基础知识，具备发现组织管理问题和敏锐性的判断力，掌握创新创业技能，并能够运用管理学理论和方法，系统分析、解决组织的管理问题。</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2.知识要求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（1）通识性知识及其他相关知识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具备文学、哲学、法学、数学、社会学、心理学、历史学、政治学、伦理学和艺术学等方面的人文社科知识，掌握并应用高等数学、统计学和外语等方面的知识技能，以及适当的工程技术和信息技术知识。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（2）学科基础知识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掌握经济学、管理学、法学及计算机等学科知识。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（3）专业性知识</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系统掌握管理学、会计学、财务管理学、创业学等工商管理类专业理论知识与方法。了解本学科的理论前沿和发展动态，熟悉国内外与会计有关的法规制度和国际惯例。</w:t>
      </w:r>
    </w:p>
    <w:p>
      <w:pPr>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val="0"/>
          <w:sz w:val="24"/>
          <w:szCs w:val="24"/>
          <w:highlight w:val="none"/>
          <w:lang w:val="en-US" w:eastAsia="zh-CN"/>
        </w:rPr>
      </w:pPr>
      <w:r>
        <w:rPr>
          <w:rFonts w:hint="eastAsia" w:ascii="仿宋_GB2312" w:hAnsi="仿宋_GB2312" w:eastAsia="仿宋_GB2312" w:cs="仿宋_GB2312"/>
          <w:b/>
          <w:bCs w:val="0"/>
          <w:sz w:val="24"/>
          <w:szCs w:val="24"/>
          <w:highlight w:val="none"/>
          <w:lang w:val="en-US" w:eastAsia="zh-CN"/>
        </w:rPr>
        <w:t>3.能力要求</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（1）专业能力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熟练掌握定性和定量分析方法，系统掌握经济与管理学科的基础知识和公司理财的基本理论与方法，掌握企业财务管理的规律和特点，掌握管理的原理、方法与技能，具备将所学知识用于解释、分析和评价公司理财实践中的具体现象和问题的能力，并能够据此提出相应对策和建议、并形成解决方案。</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（2）综合能力</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包括知识与信息的获取能力、人际交往与沟通能力，以及自主学习、终身学习和持续创新的能力。具有良好的人际关系和团队精神、较强的语言与文字沟通能力，文献检索和资料查询等信息获取能力，较强的学习提高和知识转化与应用能力，能够理论联系实际，不断探索理论与实践的创新。</w:t>
      </w:r>
    </w:p>
    <w:p>
      <w:pPr>
        <w:pageBreakBefore w:val="0"/>
        <w:kinsoku/>
        <w:wordWrap/>
        <w:overflowPunct/>
        <w:topLinePunct w:val="0"/>
        <w:autoSpaceDE/>
        <w:autoSpaceDN/>
        <w:bidi w:val="0"/>
        <w:adjustRightInd/>
        <w:snapToGrid/>
        <w:spacing w:line="500" w:lineRule="exact"/>
        <w:rPr>
          <w:rFonts w:hint="eastAsia"/>
          <w:sz w:val="24"/>
          <w:szCs w:val="24"/>
        </w:rPr>
      </w:pPr>
      <w:r>
        <w:rPr>
          <w:rFonts w:hint="eastAsia" w:ascii="仿宋_GB2312" w:hAnsi="仿宋_GB2312" w:eastAsia="仿宋_GB2312" w:cs="仿宋_GB2312"/>
          <w:b w:val="0"/>
          <w:bCs/>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课程设置</w:t>
      </w:r>
    </w:p>
    <w:p>
      <w:pPr>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课程设置分为</w:t>
      </w:r>
      <w:r>
        <w:rPr>
          <w:rFonts w:hint="eastAsia" w:ascii="仿宋_GB2312" w:hAnsi="仿宋_GB2312" w:eastAsia="仿宋_GB2312" w:cs="仿宋_GB2312"/>
          <w:sz w:val="24"/>
          <w:szCs w:val="24"/>
          <w:highlight w:val="none"/>
          <w:lang w:val="en-US" w:eastAsia="zh-CN"/>
        </w:rPr>
        <w:t>通识教育课程、学科基础课程</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专业课</w:t>
      </w:r>
      <w:r>
        <w:rPr>
          <w:rFonts w:hint="eastAsia" w:ascii="仿宋_GB2312" w:hAnsi="仿宋_GB2312" w:eastAsia="仿宋_GB2312" w:cs="仿宋_GB2312"/>
          <w:sz w:val="24"/>
          <w:szCs w:val="24"/>
          <w:highlight w:val="none"/>
          <w:lang w:val="en-US" w:eastAsia="zh-CN"/>
        </w:rPr>
        <w:t>程三</w:t>
      </w:r>
      <w:r>
        <w:rPr>
          <w:rFonts w:hint="eastAsia" w:ascii="仿宋_GB2312" w:hAnsi="仿宋_GB2312" w:eastAsia="仿宋_GB2312" w:cs="仿宋_GB2312"/>
          <w:sz w:val="24"/>
          <w:szCs w:val="24"/>
          <w:highlight w:val="none"/>
        </w:rPr>
        <w:t>类。</w:t>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t>表一：通识教育课程设置一览表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1808"/>
        <w:gridCol w:w="7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思想道德与法治</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本课程主要目的是针对大学生成长过程中面临的思想道德和法律问题，开展马克思主义的世界观、人生观、价值观、道德观、法治观教育，来引导大学生提高思想道德素质和法治素养，成长为自觉担当民族复兴大任的时代新人</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中国近代史纲要</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是全国高等学校本科生必修的一门思想政治理论课，主要讲授近现代中国社会发展和革命、建设、改革的历史进程，总结其内在规律性，引导大学生了解国情、国史，深刻领会历史和人民怎样选择了马克思主义，选择了中国共产党，选择了社会主义道路，选择了改革开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课程</w:t>
            </w:r>
            <w:r>
              <w:rPr>
                <w:rFonts w:hint="eastAsia" w:ascii="仿宋_GB2312" w:hAnsi="仿宋_GB2312" w:eastAsia="仿宋_GB2312" w:cs="仿宋_GB2312"/>
                <w:color w:val="000000"/>
                <w:kern w:val="0"/>
                <w:sz w:val="21"/>
                <w:szCs w:val="21"/>
                <w:highlight w:val="none"/>
                <w:lang w:bidi="ar"/>
              </w:rPr>
              <w:t>通过开展党和国家重大方针政策、重大活动和重大改革措施教育，开展我国改革开放和社会主义现代化建设的形势、任务和发展成就教育，开展当前国际形势与国际关系的状况、发展趋势和我国的对外政策教育，引导大学生遵循正确的观点和科学的方法分析判断形势，全面准确地理解党的路线、方针和政策，不断提高大学生认识把握形势的能力，进而坚定大学生走中国特色社会主义道路的理想信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形势与政策Ⅱ</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形势与政策Ⅲ</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401"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c>
          <w:tcPr>
            <w:tcW w:w="1808"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形势与政策Ⅳ</w:t>
            </w:r>
          </w:p>
        </w:tc>
        <w:tc>
          <w:tcPr>
            <w:tcW w:w="3665"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马克思主义基本原理概论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作为高校思想政治理论课程体系的主干课程，是一门系统讲授马克思主义基本理论的课程，涵盖了包括马克思主义哲学、政治经济学和科学社会主义三个重要组成部分在内的全部重要内容。该课程是对大学生进行远大的理想信念教育及正确的世界观、人生观、价值观教育的主渠道，它肩负着培养什么人、怎样培养人、为谁培养人的重要使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毛泽东思想</w:t>
            </w:r>
            <w:r>
              <w:rPr>
                <w:rFonts w:hint="default" w:ascii="仿宋_GB2312" w:hAnsi="仿宋_GB2312" w:eastAsia="仿宋_GB2312" w:cs="仿宋_GB2312"/>
                <w:color w:val="000000"/>
                <w:kern w:val="0"/>
                <w:sz w:val="21"/>
                <w:szCs w:val="21"/>
                <w:highlight w:val="none"/>
                <w:lang w:bidi="ar"/>
              </w:rPr>
              <w:t>和</w:t>
            </w:r>
            <w:r>
              <w:rPr>
                <w:rFonts w:hint="eastAsia" w:ascii="仿宋_GB2312" w:hAnsi="仿宋_GB2312" w:eastAsia="仿宋_GB2312" w:cs="仿宋_GB2312"/>
                <w:color w:val="000000"/>
                <w:kern w:val="0"/>
                <w:sz w:val="21"/>
                <w:szCs w:val="21"/>
                <w:highlight w:val="none"/>
                <w:lang w:bidi="ar"/>
              </w:rPr>
              <w:t>中国特色社会主义理论体系概论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default" w:ascii="仿宋_GB2312" w:hAnsi="仿宋_GB2312" w:eastAsia="仿宋_GB2312" w:cs="仿宋_GB2312"/>
                <w:color w:val="000000"/>
                <w:kern w:val="0"/>
                <w:sz w:val="21"/>
                <w:szCs w:val="21"/>
                <w:highlight w:val="none"/>
                <w:lang w:bidi="ar"/>
              </w:rPr>
              <w:t>本课程</w:t>
            </w:r>
            <w:r>
              <w:rPr>
                <w:rFonts w:hint="eastAsia" w:ascii="仿宋_GB2312" w:hAnsi="仿宋_GB2312" w:eastAsia="仿宋_GB2312" w:cs="仿宋_GB2312"/>
                <w:color w:val="000000"/>
                <w:kern w:val="0"/>
                <w:sz w:val="21"/>
                <w:szCs w:val="21"/>
                <w:highlight w:val="none"/>
                <w:lang w:bidi="ar"/>
              </w:rPr>
              <w:t>着重讲述马克思主义中国化的重大理论成果的形成、发展及其理论价值与实践价值的重要思想政治理论课。是大学生学习和掌握中国化马克思主义重要理论成果及其价值的主渠道。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6</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习近平新时代中国特色社会主义思想概论</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0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szCs w:val="21"/>
                <w:lang w:val="en-US" w:eastAsia="zh-CN"/>
              </w:rPr>
              <w:t>本</w:t>
            </w:r>
            <w:r>
              <w:rPr>
                <w:rFonts w:hint="eastAsia" w:ascii="仿宋_GB2312" w:hAnsi="仿宋_GB2312" w:eastAsia="仿宋_GB2312" w:cs="仿宋_GB2312"/>
                <w:szCs w:val="21"/>
              </w:rPr>
              <w:t>课程</w:t>
            </w:r>
            <w:r>
              <w:rPr>
                <w:rFonts w:hint="eastAsia" w:ascii="仿宋_GB2312" w:hAnsi="仿宋_GB2312" w:eastAsia="仿宋_GB2312" w:cs="仿宋_GB2312"/>
                <w:szCs w:val="21"/>
                <w:lang w:val="en-US" w:eastAsia="zh-CN"/>
              </w:rPr>
              <w:t>旨</w:t>
            </w:r>
            <w:r>
              <w:rPr>
                <w:rFonts w:hint="eastAsia" w:ascii="仿宋_GB2312" w:hAnsi="仿宋_GB2312" w:eastAsia="仿宋_GB2312" w:cs="仿宋_GB2312"/>
                <w:szCs w:val="21"/>
              </w:rPr>
              <w:t>帮助学生深入学习领会习近平新时代中国特色社会主义思想的核心要义、精神实质、丰富内涵、实践要求的理解与掌握程度，提高学生运用所学知识、基本原理去分析与解决问题的能力，加深对中国新时代中国特色社会主义建设实践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7</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党史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充分吸收党史研究最新成果，以史论结合的形式，重点叙述和评价重大历史事件和重要历史人物、重大方针政策和重要战略部署、重大理论创新成果及其发展历程；深入阐释中国共产党为什么“能”、马克思主义为什么“行”、中国特色社会主义为什么“好”的道理；着力弘扬中国共产党人的崇高革命精神和风范；深刻解读历史性变革中蕴藏的内在逻辑，历史性成就背后的道路、理论、制度、文化优势，文风朴实、通俗易懂，是全党特别是基层党员干部学习党的历史的重要读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8</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新中国史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讲述了中国共产党团结带领全国各族人民在经济、政治、文化、社会、生态文明建设以及国防和军队、“一国两制”和祖国统一、外交、党的建设等各方面取得的伟大成就和宝贵经验，突出展示了党的十八大以来，在以习近平同志为核心的党中央坚强领导下，中国实现了第一个百年奋斗目标，在中华大地上全面建成了小康社会，历史性地解决了绝对贫困问题，各项事业取得了历史性成就、发生了历史性变革，正在向着全面建成社会主义现代化强国的第二个百年奋斗目标、实现中华民族伟大复兴的中国梦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9</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改革开放史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坚持以习近平新时代中国特色社会主义思想为指导，全面贯彻习近平总书记关于党史、新中国史、改革开放史、社会主义发展史的重要论述，充分体现习近平总书记在庆祝中国共产党成立100周年大会上的重要讲话精神，以我们党关于历史问题的两个决议和党中央有关精神为依据，准确、深刻、简明地阐述了中华人民共和国70多年砥砺奋斗史，我国改革开放40多年壮阔实践史、社会主义500多年探索发展史，对于帮助</w:t>
            </w:r>
            <w:r>
              <w:rPr>
                <w:rFonts w:hint="eastAsia" w:ascii="仿宋_GB2312" w:hAnsi="仿宋_GB2312" w:eastAsia="仿宋_GB2312" w:cs="仿宋_GB2312"/>
                <w:color w:val="000000"/>
                <w:kern w:val="0"/>
                <w:sz w:val="21"/>
                <w:szCs w:val="21"/>
                <w:highlight w:val="none"/>
                <w:lang w:val="en-US" w:eastAsia="zh-CN" w:bidi="ar"/>
              </w:rPr>
              <w:t>学生</w:t>
            </w:r>
            <w:r>
              <w:rPr>
                <w:rFonts w:hint="eastAsia" w:ascii="仿宋_GB2312" w:hAnsi="仿宋_GB2312" w:eastAsia="仿宋_GB2312" w:cs="仿宋_GB2312"/>
                <w:color w:val="000000"/>
                <w:kern w:val="0"/>
                <w:sz w:val="21"/>
                <w:szCs w:val="21"/>
                <w:highlight w:val="none"/>
                <w:lang w:bidi="ar"/>
              </w:rPr>
              <w:t>学习理解历史、树立正确历史观，更加自觉地坚持以史为鉴、开创未来具有重要意义。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10</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社会主义发展史</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w:t>
            </w:r>
            <w:r>
              <w:rPr>
                <w:rFonts w:hint="eastAsia" w:ascii="仿宋_GB2312" w:hAnsi="仿宋_GB2312" w:eastAsia="仿宋_GB2312" w:cs="仿宋_GB2312"/>
                <w:color w:val="000000"/>
                <w:kern w:val="0"/>
                <w:sz w:val="21"/>
                <w:szCs w:val="21"/>
                <w:highlight w:val="none"/>
                <w:lang w:bidi="ar"/>
              </w:rPr>
              <w:t>从空想社会主义的产生和发展、科学社会主义的创立及其实践、世界社会主义的曲折与奋起、中国特色社会主义开辟社会主义新纪元、中国特色社会主义进入新时代等方面准确、深刻、简明地阐述了社会主义500多年探索发展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11</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心理健康</w:t>
            </w:r>
          </w:p>
        </w:tc>
        <w:tc>
          <w:tcPr>
            <w:tcW w:w="3665" w:type="pct"/>
            <w:vAlign w:val="center"/>
          </w:tcPr>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00" w:lineRule="exact"/>
              <w:ind w:right="0" w:firstLine="420" w:firstLineChars="200"/>
              <w:jc w:val="both"/>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本课程旨在使学生明确心理健康的标准及意义，增强自我心理保健意识和心理危机预防意识，掌握并应用心理健康知识，培养自我认知能力，人际沟通能力、自我调节能力，切实提高心理素质，促进学生全面发展。通过课程教学，使学生在知识、能力、素质三个方面达到以上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401"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计算机应用基础</w:t>
            </w:r>
          </w:p>
        </w:tc>
        <w:tc>
          <w:tcPr>
            <w:tcW w:w="366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kern w:val="0"/>
                <w:sz w:val="21"/>
                <w:szCs w:val="21"/>
                <w:highlight w:val="none"/>
                <w:vertAlign w:val="baseline"/>
                <w:lang w:val="en-US" w:eastAsia="zh-CN" w:bidi="ar-SA"/>
              </w:rPr>
            </w:pPr>
            <w:r>
              <w:rPr>
                <w:rFonts w:hint="eastAsia" w:ascii="仿宋_GB2312" w:hAnsi="仿宋_GB2312" w:eastAsia="仿宋_GB2312" w:cs="仿宋_GB2312"/>
                <w:color w:val="000000"/>
                <w:kern w:val="0"/>
                <w:sz w:val="21"/>
                <w:szCs w:val="21"/>
                <w:highlight w:val="none"/>
                <w:lang w:bidi="ar"/>
              </w:rPr>
              <w:t>本课程是培养学生计算机应用的能力，提高学生的信息素养，为后继的计算机课程和专业课程的学习打下必备的计算机基础知识和技能。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rPr>
            </w:pPr>
            <w:r>
              <w:rPr>
                <w:rFonts w:hint="default" w:ascii="仿宋_GB2312" w:hAnsi="仿宋_GB2312" w:eastAsia="仿宋_GB2312" w:cs="仿宋_GB2312"/>
                <w:sz w:val="21"/>
                <w:szCs w:val="21"/>
                <w:highlight w:val="none"/>
                <w:vertAlign w:val="baseline"/>
              </w:rPr>
              <w:t>13</w:t>
            </w: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大学英语Ⅰ</w:t>
            </w:r>
          </w:p>
        </w:tc>
        <w:tc>
          <w:tcPr>
            <w:tcW w:w="3665"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该课程属基本素质课，旨在让学生熟悉掌握日常生活中经常使用的英语基础知识与书面用语，具备一定的英语思维习惯，能够进行基本的日常交际会话；在加强英语语言基础知识和基本技能的同时，了解职场语言文化知识和通用的职场沟通技能，以交际为目的，培养学生的社会适应性、提高其自主学习能力、就业能力，满足学生初入职场的实际需求，为将来的就业工作做好充分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jc w:val="center"/>
        </w:trPr>
        <w:tc>
          <w:tcPr>
            <w:tcW w:w="401"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pPr>
          </w:p>
        </w:tc>
        <w:tc>
          <w:tcPr>
            <w:tcW w:w="933" w:type="pct"/>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大学英语Ⅱ</w:t>
            </w:r>
          </w:p>
        </w:tc>
        <w:tc>
          <w:tcPr>
            <w:tcW w:w="3665" w:type="pct"/>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_GB2312" w:hAnsi="仿宋_GB2312" w:eastAsia="仿宋_GB2312" w:cs="仿宋_GB2312"/>
                <w:color w:val="000000"/>
                <w:kern w:val="0"/>
                <w:sz w:val="21"/>
                <w:szCs w:val="21"/>
                <w:highlight w:val="none"/>
                <w:lang w:val="en-US" w:eastAsia="zh-CN" w:bidi="ar"/>
              </w:rPr>
            </w:pPr>
          </w:p>
        </w:tc>
      </w:tr>
    </w:tbl>
    <w:p>
      <w:pPr>
        <w:rPr>
          <w:rFonts w:hint="eastAsia" w:ascii="黑体" w:hAnsi="黑体" w:eastAsia="黑体" w:cs="黑体"/>
          <w:b/>
          <w:bCs/>
          <w:sz w:val="24"/>
          <w:szCs w:val="24"/>
          <w:lang w:val="en-US" w:eastAsia="zh-CN"/>
        </w:rPr>
      </w:pPr>
      <w:r>
        <w:rPr>
          <w:rFonts w:hint="eastAsia" w:ascii="黑体" w:hAnsi="黑体" w:eastAsia="黑体" w:cs="黑体"/>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default" w:eastAsia="仿宋_GB2312"/>
          <w:b/>
          <w:bCs/>
          <w:sz w:val="24"/>
          <w:szCs w:val="24"/>
          <w:lang w:val="en-US" w:eastAsia="zh-CN"/>
        </w:rPr>
      </w:pPr>
      <w:r>
        <w:rPr>
          <w:rFonts w:hint="eastAsia" w:ascii="黑体" w:hAnsi="黑体" w:eastAsia="黑体" w:cs="黑体"/>
          <w:b/>
          <w:bCs/>
          <w:sz w:val="24"/>
          <w:szCs w:val="24"/>
          <w:lang w:val="en-US" w:eastAsia="zh-CN"/>
        </w:rPr>
        <w:t>表二：学科基础课程设置一览表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5"/>
        <w:gridCol w:w="1808"/>
        <w:gridCol w:w="7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管理学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bidi="ar"/>
              </w:rPr>
              <w:t>通过管理学课程的学习，学生应该了解管理学的基本内容，掌握管理学思想发展史、现代管理的科学体系和一般方法，理解管理的五大要素，即计划、组织、领导与激励、控 制、创新，以及现代决策的技术与方法，能对案例的分析能从定 性和定量的方面得出 结论。在实践中，学会用管理理论分析问题、解决问题；为自己从事管理工作打下基础。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基础会计</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通过本课程的学习，使学生能够比较全面地了解、掌握会计的基本原理、基本方法和基本技能，并使学生具备进行会计核算的初步能力，为后续专业课程的学习打下基础</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微观经济学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微观经济学以价格理论为中心，研究企业、家庭和单个市场等微观供求行为与价格之间关系。学习内容包括供求的含义及均衡价格的形成、与消费相关的效用论、与生产相关的生产理论和成本理论、市场与厂商理论和市场与福利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宏观经济学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宏观经济学以收入理论为中心，研究一个国家整体经济运行及政府如何运用经济政策来影响经济。学习内容包括国民经济的循环流转、国内生产总值的概念及基本核算方法、均衡国民收入的决定与乘数论、宏观经济政策的政策工具及应用、失业、货膨胀的形成原因及抑制通货膨胀的经济政策、经济增长的一般规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统计学</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统计学是高等学校经济学类、工商管理类本科学生的核心课程之一，是研究数据收集、整理和分析的方法论科学，其目的是探索数据内在的数量规律性，以达到对客观事物的科学认识。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经济法</w:t>
            </w:r>
            <w:r>
              <w:rPr>
                <w:rFonts w:hint="eastAsia" w:ascii="仿宋_GB2312" w:hAnsi="仿宋_GB2312" w:eastAsia="仿宋_GB2312" w:cs="仿宋_GB2312"/>
                <w:color w:val="000000"/>
                <w:kern w:val="0"/>
                <w:sz w:val="21"/>
                <w:szCs w:val="21"/>
                <w:highlight w:val="none"/>
                <w:lang w:eastAsia="zh-CN" w:bidi="ar"/>
              </w:rPr>
              <w:t>（</w:t>
            </w:r>
            <w:r>
              <w:rPr>
                <w:rFonts w:hint="eastAsia" w:ascii="仿宋_GB2312" w:hAnsi="仿宋_GB2312" w:eastAsia="仿宋_GB2312" w:cs="仿宋_GB2312"/>
                <w:color w:val="000000"/>
                <w:kern w:val="0"/>
                <w:sz w:val="21"/>
                <w:szCs w:val="21"/>
                <w:highlight w:val="none"/>
                <w:lang w:val="en-US" w:eastAsia="zh-CN" w:bidi="ar"/>
              </w:rPr>
              <w:t>CPA</w:t>
            </w:r>
            <w:r>
              <w:rPr>
                <w:rFonts w:hint="eastAsia" w:ascii="仿宋_GB2312" w:hAnsi="仿宋_GB2312" w:eastAsia="仿宋_GB2312" w:cs="仿宋_GB2312"/>
                <w:color w:val="000000"/>
                <w:kern w:val="0"/>
                <w:sz w:val="21"/>
                <w:szCs w:val="21"/>
                <w:highlight w:val="none"/>
                <w:lang w:eastAsia="zh-CN" w:bidi="ar"/>
              </w:rPr>
              <w:t>）</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本课程的目的是让学生了解商务运作的法律环境，理解有关法律知识，善于运用法律知识来解决问题。提高企业经营管理人员追求交易稳定、防范交易风险的能力，依法维护自身的合法权益。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05"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税法</w:t>
            </w:r>
          </w:p>
        </w:tc>
        <w:tc>
          <w:tcPr>
            <w:tcW w:w="3660"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旨在培养学生具有良好的纳税意识和税法知识应用能力，具备中高级经济管理人员所必需的税收实务学基本知识和基本技能，具备一定的自学能力、应用能力和创新能力，初步形成解决税收实际问题的能力，全面提高税收知识综合应用能力，为增强适应职业变化的能力和继续学习的能力奠定一定的基础。</w:t>
            </w:r>
          </w:p>
        </w:tc>
      </w:tr>
    </w:tbl>
    <w:p>
      <w:pPr>
        <w:pStyle w:val="2"/>
        <w:pageBreakBefore w:val="0"/>
        <w:widowControl w:val="0"/>
        <w:numPr>
          <w:ilvl w:val="0"/>
          <w:numId w:val="0"/>
        </w:numPr>
        <w:kinsoku/>
        <w:wordWrap/>
        <w:overflowPunct/>
        <w:topLinePunct w:val="0"/>
        <w:autoSpaceDE/>
        <w:autoSpaceDN/>
        <w:bidi w:val="0"/>
        <w:adjustRightInd/>
        <w:snapToGrid/>
        <w:spacing w:line="500" w:lineRule="exact"/>
        <w:textAlignment w:val="auto"/>
        <w:rPr>
          <w:rFonts w:hint="default" w:eastAsia="仿宋_GB2312"/>
          <w:sz w:val="24"/>
          <w:szCs w:val="24"/>
          <w:lang w:val="en-US" w:eastAsia="zh-CN"/>
        </w:rPr>
      </w:pPr>
    </w:p>
    <w:p>
      <w:pPr>
        <w:rPr>
          <w:rFonts w:hint="eastAsia" w:ascii="楷体_GB2312" w:hAnsi="楷体_GB2312" w:eastAsia="楷体_GB2312" w:cs="楷体_GB2312"/>
          <w:b/>
          <w:bCs/>
          <w:sz w:val="24"/>
          <w:szCs w:val="24"/>
          <w:lang w:val="en-US" w:eastAsia="zh-CN"/>
        </w:rPr>
      </w:pPr>
      <w:r>
        <w:rPr>
          <w:rFonts w:hint="eastAsia" w:ascii="楷体_GB2312" w:hAnsi="楷体_GB2312" w:eastAsia="楷体_GB2312" w:cs="楷体_GB2312"/>
          <w:b/>
          <w:bCs/>
          <w:sz w:val="24"/>
          <w:szCs w:val="24"/>
          <w:lang w:val="en-US" w:eastAsia="zh-CN"/>
        </w:rPr>
        <w:br w:type="page"/>
      </w:r>
    </w:p>
    <w:p>
      <w:pPr>
        <w:pStyle w:val="2"/>
        <w:pageBreakBefore w:val="0"/>
        <w:widowControl w:val="0"/>
        <w:numPr>
          <w:ilvl w:val="0"/>
          <w:numId w:val="0"/>
        </w:numPr>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sz w:val="24"/>
          <w:szCs w:val="24"/>
          <w:lang w:val="en-US" w:eastAsia="zh-CN"/>
        </w:rPr>
      </w:pPr>
      <w:r>
        <w:rPr>
          <w:rFonts w:hint="eastAsia" w:ascii="黑体" w:hAnsi="黑体" w:eastAsia="黑体" w:cs="黑体"/>
          <w:b/>
          <w:bCs/>
          <w:sz w:val="24"/>
          <w:szCs w:val="24"/>
          <w:lang w:val="en-US" w:eastAsia="zh-CN"/>
        </w:rPr>
        <w:t>表三：专业课程设置一览表</w:t>
      </w:r>
    </w:p>
    <w:tbl>
      <w:tblPr>
        <w:tblStyle w:val="14"/>
        <w:tblW w:w="49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1"/>
        <w:gridCol w:w="1808"/>
        <w:gridCol w:w="7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序号</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课程名称</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highlight w:val="none"/>
                <w:vertAlign w:val="baseline"/>
                <w:lang w:val="en-US" w:eastAsia="zh-CN"/>
              </w:rPr>
            </w:pPr>
            <w:r>
              <w:rPr>
                <w:rFonts w:hint="eastAsia" w:ascii="仿宋_GB2312" w:hAnsi="仿宋_GB2312" w:eastAsia="仿宋_GB2312" w:cs="仿宋_GB2312"/>
                <w:b/>
                <w:bCs/>
                <w:sz w:val="21"/>
                <w:szCs w:val="21"/>
                <w:highlight w:val="none"/>
                <w:vertAlign w:val="baseline"/>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1</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会计职业道德</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eastAsia="zh-CN" w:bidi="ar"/>
              </w:rPr>
              <w:t>本课程主要介绍伦理学的基本原理、商业伦理的具体内容、会计职业准则及相关规范，以使同学理解基本的人生伦理观念、商业伦理规范，并增强会计人员在会计实务中处理道德困境的能力，提升道德修养与职业水准。让学生</w:t>
            </w:r>
            <w:r>
              <w:rPr>
                <w:rFonts w:hint="eastAsia" w:ascii="仿宋_GB2312" w:hAnsi="仿宋_GB2312" w:eastAsia="仿宋_GB2312" w:cs="仿宋_GB2312"/>
                <w:color w:val="000000"/>
                <w:kern w:val="0"/>
                <w:sz w:val="21"/>
                <w:szCs w:val="21"/>
                <w:highlight w:val="none"/>
                <w:lang w:bidi="ar"/>
              </w:rPr>
              <w:t>了解伦理学和商业伦理学的一些基本原理，使人生更加幸福。识别会计和财务领域中存在的伦理问题，增强会计伦理敏感性。（会计工作不仅是一门技术，伦理同样重要。）理解并掌握会计职业道德准则及相关规范，提升职业水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2</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中级财务会计学（上）</w:t>
            </w:r>
          </w:p>
        </w:tc>
        <w:tc>
          <w:tcPr>
            <w:tcW w:w="366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是会计学本科专业的一门专业核心课，是会计学专业知识结构中的主体部分。本课程的目的和任务是介绍财务会计的基本理论和实务，培养学生从事财务会计工作应具备的基本知识、基本技能和操作能力。本课程的先修课程为基础会计，其后续课程依次为（成本）管理会计、财务管理、高级财务会计学和审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pP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中级财务会计学（下）</w:t>
            </w:r>
          </w:p>
        </w:tc>
        <w:tc>
          <w:tcPr>
            <w:tcW w:w="366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3</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财务管理</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旨在将学生培养成具有较强的财务管理能力，能在公司等机构从事财务管理等项工作的高素质应用型、复合型人才。通过本课程的学习，使学生能够达到一定的知识、能力与情感目标，具备从事企业财务管理工作，具有良好的职业素质、职业道德和爱岗敬业精神，成为复合型的公司理财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4</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管理会计</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是会计学、财务管理专业的一门专业核心课，是为强化企业内部经营管理，提高经济效益服务，运用一系列专门的方式方法，收集汇总、分析和报告各种经济信息，借以进行预测和决策，制定计划，对经营业务进行控制，并对业绩进行评价，以保证企业改善经营管理，提高经济效益</w:t>
            </w:r>
            <w:r>
              <w:rPr>
                <w:rFonts w:hint="eastAsia" w:ascii="仿宋_GB2312" w:hAnsi="仿宋_GB2312" w:eastAsia="仿宋_GB2312" w:cs="仿宋_GB2312"/>
                <w:color w:val="000000"/>
                <w:kern w:val="0"/>
                <w:sz w:val="21"/>
                <w:szCs w:val="21"/>
                <w:highlight w:val="none"/>
                <w:lang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5</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高级财务会计</w:t>
            </w:r>
          </w:p>
        </w:tc>
        <w:tc>
          <w:tcPr>
            <w:tcW w:w="3668" w:type="pct"/>
            <w:vAlign w:val="center"/>
          </w:tcPr>
          <w:p>
            <w:pPr>
              <w:keepNext w:val="0"/>
              <w:keepLines w:val="0"/>
              <w:pageBreakBefore w:val="0"/>
              <w:widowControl w:val="0"/>
              <w:kinsoku/>
              <w:wordWrap/>
              <w:overflowPunct/>
              <w:topLinePunct w:val="0"/>
              <w:autoSpaceDE/>
              <w:autoSpaceDN/>
              <w:bidi w:val="0"/>
              <w:adjustRightInd/>
              <w:snapToGrid/>
              <w:spacing w:line="400" w:lineRule="exact"/>
              <w:ind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sz w:val="21"/>
                <w:szCs w:val="21"/>
                <w:lang w:eastAsia="zh-Hans"/>
              </w:rPr>
              <w:t>本课程是为进一步提高学生会计理论水平和应用能力而设置的一门专业核心课。在初级财务会计学和中级财务会计学的基础上，通过本课程的学习，可以让学生更加深刻地理解会计学的学科体系，科学地处理各层次会计学，特别是高级财务会计与中级财务会计之间的关系；帮助学生掌握和运用高级财务会计学这一特殊领域的会计理论与方法，从而进一步掌握特殊业务、特殊主体、特殊行业的会计处理方法，培养学生运用所学知识进行会计处理及信息披露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6</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val="en-US" w:eastAsia="zh-CN" w:bidi="ar"/>
              </w:rPr>
              <w:t>审计学</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sz w:val="21"/>
                <w:szCs w:val="21"/>
                <w:highlight w:val="none"/>
                <w:vertAlign w:val="baseline"/>
              </w:rPr>
            </w:pPr>
            <w:r>
              <w:rPr>
                <w:rFonts w:hint="eastAsia" w:ascii="仿宋_GB2312" w:hAnsi="仿宋_GB2312" w:eastAsia="仿宋_GB2312" w:cs="仿宋_GB2312"/>
                <w:color w:val="000000"/>
                <w:kern w:val="0"/>
                <w:sz w:val="21"/>
                <w:szCs w:val="21"/>
                <w:highlight w:val="none"/>
                <w:lang w:bidi="ar"/>
              </w:rPr>
              <w:t>本课程首先介绍审计的产生背景与发展，然后讲解审计行业的职业道德和具体的审计过程及方法；在此基础上，阐述财务报表审计的目标、基本审计方法和程序。介绍审计抽样的概念及具体运用。讲授如何进行风险评估及风险应对；讲授审计证据的特点及获取方法。最后是审计意见的判断和审计报告的撰写。通过本课程的学习，让学生掌握较为全面的审计知识和技能，培养学生严密的审计思维能力，为将来从事实际工作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7</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bidi="ar"/>
              </w:rPr>
              <w:t>会计信息系统</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本课程教学目的在于向学生系统阐述有关会计信息系统的知识，主要着重于会计信息系统基本概念阐述、会计信息系统应用软件的开发、使用和建设，使学生对会计信息系统的理论和实务有比较系统地掌握。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9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default" w:ascii="仿宋_GB2312" w:hAnsi="仿宋_GB2312" w:eastAsia="仿宋_GB2312" w:cs="仿宋_GB2312"/>
                <w:sz w:val="21"/>
                <w:szCs w:val="21"/>
                <w:highlight w:val="none"/>
                <w:vertAlign w:val="baseline"/>
                <w:lang w:val="en-US" w:eastAsia="zh-CN"/>
              </w:rPr>
            </w:pPr>
            <w:r>
              <w:rPr>
                <w:rFonts w:hint="eastAsia" w:ascii="仿宋_GB2312" w:hAnsi="仿宋_GB2312" w:eastAsia="仿宋_GB2312" w:cs="仿宋_GB2312"/>
                <w:sz w:val="21"/>
                <w:szCs w:val="21"/>
                <w:highlight w:val="none"/>
                <w:vertAlign w:val="baseline"/>
                <w:lang w:val="en-US" w:eastAsia="zh-CN"/>
              </w:rPr>
              <w:t>8</w:t>
            </w:r>
          </w:p>
        </w:tc>
        <w:tc>
          <w:tcPr>
            <w:tcW w:w="93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bidi="ar"/>
              </w:rPr>
              <w:t>财务</w:t>
            </w:r>
            <w:r>
              <w:rPr>
                <w:rFonts w:hint="eastAsia" w:ascii="仿宋_GB2312" w:hAnsi="仿宋_GB2312" w:eastAsia="仿宋_GB2312" w:cs="仿宋_GB2312"/>
                <w:color w:val="000000"/>
                <w:kern w:val="0"/>
                <w:sz w:val="21"/>
                <w:szCs w:val="21"/>
                <w:highlight w:val="none"/>
                <w:lang w:val="en-US" w:eastAsia="zh-CN" w:bidi="ar"/>
              </w:rPr>
              <w:t>报表</w:t>
            </w:r>
            <w:r>
              <w:rPr>
                <w:rFonts w:hint="eastAsia" w:ascii="仿宋_GB2312" w:hAnsi="仿宋_GB2312" w:eastAsia="仿宋_GB2312" w:cs="仿宋_GB2312"/>
                <w:color w:val="000000"/>
                <w:kern w:val="0"/>
                <w:sz w:val="21"/>
                <w:szCs w:val="21"/>
                <w:highlight w:val="none"/>
                <w:lang w:bidi="ar"/>
              </w:rPr>
              <w:t>分析</w:t>
            </w:r>
          </w:p>
        </w:tc>
        <w:tc>
          <w:tcPr>
            <w:tcW w:w="366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420" w:firstLineChars="200"/>
              <w:jc w:val="both"/>
              <w:textAlignment w:val="auto"/>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val="en-US" w:eastAsia="zh-CN" w:bidi="ar"/>
              </w:rPr>
              <w:t>本</w:t>
            </w:r>
            <w:r>
              <w:rPr>
                <w:rFonts w:hint="eastAsia" w:ascii="仿宋_GB2312" w:hAnsi="仿宋_GB2312" w:eastAsia="仿宋_GB2312" w:cs="仿宋_GB2312"/>
                <w:color w:val="000000"/>
                <w:kern w:val="0"/>
                <w:sz w:val="21"/>
                <w:szCs w:val="21"/>
                <w:highlight w:val="none"/>
                <w:lang w:bidi="ar"/>
              </w:rPr>
              <w:t>课程</w:t>
            </w:r>
            <w:r>
              <w:rPr>
                <w:rFonts w:hint="eastAsia" w:ascii="仿宋_GB2312" w:hAnsi="仿宋_GB2312" w:eastAsia="仿宋_GB2312" w:cs="仿宋_GB2312"/>
                <w:color w:val="000000"/>
                <w:kern w:val="0"/>
                <w:sz w:val="21"/>
                <w:szCs w:val="21"/>
                <w:highlight w:val="none"/>
                <w:lang w:val="en-GB" w:bidi="ar"/>
              </w:rPr>
              <w:t>以</w:t>
            </w:r>
            <w:r>
              <w:rPr>
                <w:rFonts w:hint="eastAsia" w:ascii="仿宋_GB2312" w:hAnsi="仿宋_GB2312" w:eastAsia="仿宋_GB2312" w:cs="仿宋_GB2312"/>
                <w:color w:val="000000"/>
                <w:kern w:val="0"/>
                <w:sz w:val="21"/>
                <w:szCs w:val="21"/>
                <w:highlight w:val="none"/>
                <w:lang w:bidi="ar"/>
              </w:rPr>
              <w:t>财务</w:t>
            </w:r>
            <w:r>
              <w:rPr>
                <w:rFonts w:hint="eastAsia" w:ascii="仿宋_GB2312" w:hAnsi="仿宋_GB2312" w:eastAsia="仿宋_GB2312" w:cs="仿宋_GB2312"/>
                <w:color w:val="000000"/>
                <w:kern w:val="0"/>
                <w:sz w:val="21"/>
                <w:szCs w:val="21"/>
                <w:highlight w:val="none"/>
                <w:lang w:val="en-GB" w:bidi="ar"/>
              </w:rPr>
              <w:t>报告资料及其他相关资料为依据，</w:t>
            </w:r>
            <w:r>
              <w:rPr>
                <w:rFonts w:hint="eastAsia" w:ascii="仿宋_GB2312" w:hAnsi="仿宋_GB2312" w:eastAsia="仿宋_GB2312" w:cs="仿宋_GB2312"/>
                <w:color w:val="000000"/>
                <w:kern w:val="0"/>
                <w:sz w:val="21"/>
                <w:szCs w:val="21"/>
                <w:highlight w:val="none"/>
                <w:lang w:bidi="ar"/>
              </w:rPr>
              <w:t>介绍</w:t>
            </w:r>
            <w:r>
              <w:rPr>
                <w:rFonts w:hint="eastAsia" w:ascii="仿宋_GB2312" w:hAnsi="仿宋_GB2312" w:eastAsia="仿宋_GB2312" w:cs="仿宋_GB2312"/>
                <w:color w:val="000000"/>
                <w:kern w:val="0"/>
                <w:sz w:val="21"/>
                <w:szCs w:val="21"/>
                <w:highlight w:val="none"/>
                <w:lang w:val="en-GB" w:bidi="ar"/>
              </w:rPr>
              <w:t>一系列专门的分析技术和方法，</w:t>
            </w:r>
            <w:r>
              <w:rPr>
                <w:rFonts w:hint="eastAsia" w:ascii="仿宋_GB2312" w:hAnsi="仿宋_GB2312" w:eastAsia="仿宋_GB2312" w:cs="仿宋_GB2312"/>
                <w:color w:val="000000"/>
                <w:kern w:val="0"/>
                <w:sz w:val="21"/>
                <w:szCs w:val="21"/>
                <w:highlight w:val="none"/>
                <w:lang w:bidi="ar"/>
              </w:rPr>
              <w:t>培养学生</w:t>
            </w:r>
            <w:r>
              <w:rPr>
                <w:rFonts w:hint="eastAsia" w:ascii="仿宋_GB2312" w:hAnsi="仿宋_GB2312" w:eastAsia="仿宋_GB2312" w:cs="仿宋_GB2312"/>
                <w:color w:val="000000"/>
                <w:kern w:val="0"/>
                <w:sz w:val="21"/>
                <w:szCs w:val="21"/>
                <w:highlight w:val="none"/>
                <w:lang w:val="en-GB" w:bidi="ar"/>
              </w:rPr>
              <w:t>对企业等经济组织过去和现在有关筹资活动、投资活动、经营活动、分配活动的盈利能力、营运能力、偿债能力和增长能力状况等进行分析与评价</w:t>
            </w:r>
            <w:r>
              <w:rPr>
                <w:rFonts w:hint="eastAsia" w:ascii="仿宋_GB2312" w:hAnsi="仿宋_GB2312" w:eastAsia="仿宋_GB2312" w:cs="仿宋_GB2312"/>
                <w:color w:val="000000"/>
                <w:kern w:val="0"/>
                <w:sz w:val="21"/>
                <w:szCs w:val="21"/>
                <w:highlight w:val="none"/>
                <w:lang w:bidi="ar"/>
              </w:rPr>
              <w:t>的能力</w:t>
            </w:r>
          </w:p>
        </w:tc>
      </w:tr>
    </w:tbl>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24"/>
          <w:highlight w:val="none"/>
        </w:rPr>
      </w:pPr>
    </w:p>
    <w:p>
      <w:pPr>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br w:type="page"/>
      </w: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lang w:val="en-US" w:eastAsia="zh-CN"/>
        </w:rPr>
        <w:t>考核与</w:t>
      </w:r>
      <w:r>
        <w:rPr>
          <w:rFonts w:hint="eastAsia" w:ascii="黑体" w:hAnsi="黑体" w:eastAsia="黑体"/>
          <w:b w:val="0"/>
          <w:bCs w:val="0"/>
          <w:sz w:val="24"/>
          <w:szCs w:val="24"/>
          <w:highlight w:val="none"/>
        </w:rPr>
        <w:t>毕业要求</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考核要求</w:t>
      </w:r>
    </w:p>
    <w:p>
      <w:pPr>
        <w:pStyle w:val="2"/>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课程考核立足课程特点和基本要求，采用过程性考核（平时成绩）与终结性考核（期末考试）相结合的模式。其中平时成绩由平时学习及表现、作业、考勤三部分组成。课程期末考试成绩占总成绩比例原则上不低于60%，不超过80%。考勤缺课学时数占该门课程总时数30%以上者，不能参加本课程的考核，该课程成绩按“0”分记载。</w:t>
      </w:r>
    </w:p>
    <w:p>
      <w:pPr>
        <w:pageBreakBefore w:val="0"/>
        <w:widowControl w:val="0"/>
        <w:numPr>
          <w:ilvl w:val="0"/>
          <w:numId w:val="3"/>
        </w:numPr>
        <w:kinsoku/>
        <w:wordWrap/>
        <w:overflowPunct/>
        <w:topLinePunct w:val="0"/>
        <w:autoSpaceDE/>
        <w:autoSpaceDN/>
        <w:bidi w:val="0"/>
        <w:adjustRightInd/>
        <w:snapToGrid/>
        <w:spacing w:line="500" w:lineRule="exact"/>
        <w:ind w:left="0" w:leftChars="0" w:firstLine="420" w:firstLineChars="0"/>
        <w:textAlignment w:val="auto"/>
        <w:rPr>
          <w:rFonts w:hint="eastAsia" w:ascii="楷体_GB2312" w:hAnsi="楷体_GB2312" w:eastAsia="楷体_GB2312" w:cs="楷体_GB2312"/>
          <w:b/>
          <w:bCs/>
          <w:kern w:val="44"/>
          <w:sz w:val="24"/>
          <w:szCs w:val="24"/>
          <w:highlight w:val="none"/>
          <w:lang w:val="en-US" w:eastAsia="zh-CN" w:bidi="ar-SA"/>
        </w:rPr>
      </w:pPr>
      <w:r>
        <w:rPr>
          <w:rFonts w:hint="eastAsia" w:ascii="楷体_GB2312" w:hAnsi="楷体_GB2312" w:eastAsia="楷体_GB2312" w:cs="楷体_GB2312"/>
          <w:b/>
          <w:bCs/>
          <w:kern w:val="44"/>
          <w:sz w:val="24"/>
          <w:szCs w:val="24"/>
          <w:highlight w:val="none"/>
          <w:lang w:val="en-US" w:eastAsia="zh-CN" w:bidi="ar-SA"/>
        </w:rPr>
        <w:t>毕业要求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1.学生在基本学制2.5年的专业人才培养方案所规定的</w:t>
      </w:r>
      <w:r>
        <w:rPr>
          <w:rFonts w:hint="eastAsia" w:ascii="仿宋_GB2312" w:hAnsi="仿宋_GB2312" w:eastAsia="仿宋_GB2312" w:cs="仿宋_GB2312"/>
          <w:sz w:val="24"/>
          <w:szCs w:val="24"/>
          <w:highlight w:val="none"/>
          <w:lang w:val="en-US" w:eastAsia="zh-CN"/>
        </w:rPr>
        <w:t>1638</w:t>
      </w:r>
      <w:r>
        <w:rPr>
          <w:rFonts w:hint="eastAsia" w:ascii="仿宋_GB2312" w:hAnsi="仿宋_GB2312" w:eastAsia="仿宋_GB2312" w:cs="仿宋_GB2312"/>
          <w:sz w:val="24"/>
          <w:szCs w:val="24"/>
          <w:highlight w:val="none"/>
        </w:rPr>
        <w:t>学时</w:t>
      </w:r>
      <w:r>
        <w:rPr>
          <w:rFonts w:hint="eastAsia" w:ascii="仿宋_GB2312" w:hAnsi="仿宋_GB2312" w:eastAsia="仿宋_GB2312" w:cs="仿宋_GB2312"/>
          <w:sz w:val="24"/>
          <w:szCs w:val="24"/>
          <w:highlight w:val="none"/>
          <w:lang w:val="en-US" w:eastAsia="zh-CN"/>
        </w:rPr>
        <w:t>91</w:t>
      </w:r>
      <w:r>
        <w:rPr>
          <w:rFonts w:hint="eastAsia" w:ascii="仿宋_GB2312" w:hAnsi="仿宋_GB2312" w:eastAsia="仿宋_GB2312" w:cs="仿宋_GB2312"/>
          <w:sz w:val="24"/>
          <w:szCs w:val="24"/>
          <w:highlight w:val="none"/>
        </w:rPr>
        <w:t>学分，完成规定的教学活动，达到培养规格规定的素质、知识和能力等要求，准予毕业。</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2.取得本科毕业证书、全省学位外语考试合格、毕业论文（设计）良好以上，符合我校《成人高等教育学士学位授予工作实施细则》有关规定者，可授予</w:t>
      </w:r>
      <w:r>
        <w:rPr>
          <w:rFonts w:hint="eastAsia" w:ascii="仿宋_GB2312" w:hAnsi="仿宋_GB2312" w:eastAsia="仿宋_GB2312" w:cs="仿宋_GB2312"/>
          <w:sz w:val="24"/>
          <w:szCs w:val="24"/>
          <w:highlight w:val="none"/>
          <w:lang w:val="en-US" w:eastAsia="zh-CN"/>
        </w:rPr>
        <w:t>管理学</w:t>
      </w:r>
      <w:r>
        <w:rPr>
          <w:rFonts w:hint="eastAsia" w:ascii="仿宋_GB2312" w:hAnsi="仿宋_GB2312" w:eastAsia="仿宋_GB2312" w:cs="仿宋_GB2312"/>
          <w:sz w:val="24"/>
          <w:szCs w:val="24"/>
          <w:highlight w:val="none"/>
        </w:rPr>
        <w:t>学士学位证书。</w:t>
      </w:r>
    </w:p>
    <w:p>
      <w:pPr>
        <w:pStyle w:val="2"/>
        <w:pageBreakBefore w:val="0"/>
        <w:kinsoku/>
        <w:wordWrap/>
        <w:overflowPunct/>
        <w:topLinePunct w:val="0"/>
        <w:autoSpaceDE/>
        <w:autoSpaceDN/>
        <w:bidi w:val="0"/>
        <w:adjustRightInd/>
        <w:snapToGrid/>
        <w:spacing w:line="500" w:lineRule="exact"/>
        <w:rPr>
          <w:rFonts w:hint="eastAsia"/>
          <w:sz w:val="24"/>
          <w:szCs w:val="24"/>
        </w:rPr>
      </w:pPr>
    </w:p>
    <w:p>
      <w:pPr>
        <w:pStyle w:val="3"/>
        <w:pageBreakBefore w:val="0"/>
        <w:widowControl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课程教学计划</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本专业学生应修满的最低学分为</w:t>
      </w:r>
      <w:r>
        <w:rPr>
          <w:rFonts w:hint="eastAsia" w:ascii="仿宋_GB2312" w:hAnsi="仿宋_GB2312" w:eastAsia="仿宋_GB2312" w:cs="仿宋_GB2312"/>
          <w:sz w:val="24"/>
          <w:szCs w:val="24"/>
          <w:highlight w:val="none"/>
          <w:lang w:val="en-US" w:eastAsia="zh-CN"/>
        </w:rPr>
        <w:t>91</w:t>
      </w:r>
      <w:r>
        <w:rPr>
          <w:rFonts w:hint="eastAsia" w:ascii="仿宋_GB2312" w:hAnsi="仿宋_GB2312" w:eastAsia="仿宋_GB2312" w:cs="仿宋_GB2312"/>
          <w:sz w:val="24"/>
          <w:szCs w:val="24"/>
          <w:highlight w:val="none"/>
        </w:rPr>
        <w:t>学分。其中</w:t>
      </w:r>
      <w:r>
        <w:rPr>
          <w:rFonts w:hint="eastAsia" w:ascii="仿宋_GB2312" w:hAnsi="仿宋_GB2312" w:eastAsia="仿宋_GB2312" w:cs="仿宋_GB2312"/>
          <w:sz w:val="24"/>
          <w:szCs w:val="24"/>
          <w:highlight w:val="none"/>
          <w:lang w:val="en-US" w:eastAsia="zh-CN"/>
        </w:rPr>
        <w:t>通识教育课程28学分，学科基础课程</w:t>
      </w: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学分，专业课</w:t>
      </w:r>
      <w:r>
        <w:rPr>
          <w:rFonts w:hint="eastAsia" w:ascii="仿宋_GB2312" w:hAnsi="仿宋_GB2312" w:eastAsia="仿宋_GB2312" w:cs="仿宋_GB2312"/>
          <w:sz w:val="24"/>
          <w:szCs w:val="24"/>
          <w:highlight w:val="none"/>
          <w:lang w:val="en-US" w:eastAsia="zh-CN"/>
        </w:rPr>
        <w:t>程28</w:t>
      </w:r>
      <w:r>
        <w:rPr>
          <w:rFonts w:hint="eastAsia" w:ascii="仿宋_GB2312" w:hAnsi="仿宋_GB2312" w:eastAsia="仿宋_GB2312" w:cs="仿宋_GB2312"/>
          <w:sz w:val="24"/>
          <w:szCs w:val="24"/>
          <w:highlight w:val="none"/>
        </w:rPr>
        <w:t>学分，</w:t>
      </w:r>
      <w:r>
        <w:rPr>
          <w:rFonts w:hint="eastAsia" w:ascii="仿宋_GB2312" w:hAnsi="仿宋_GB2312" w:eastAsia="仿宋_GB2312" w:cs="仿宋_GB2312"/>
          <w:sz w:val="24"/>
          <w:szCs w:val="24"/>
          <w:highlight w:val="none"/>
          <w:lang w:val="en-US" w:eastAsia="zh-CN"/>
        </w:rPr>
        <w:t>综合实践课程</w:t>
      </w: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学分。所有修读课程均须通过考核，考核及格以上者方能取得相应学分。</w:t>
      </w:r>
    </w:p>
    <w:p>
      <w:pPr>
        <w:pStyle w:val="2"/>
        <w:ind w:left="0" w:leftChars="0" w:firstLine="0" w:firstLineChars="0"/>
        <w:rPr>
          <w:rFonts w:hint="eastAsia" w:ascii="仿宋_GB2312" w:hAnsi="仿宋_GB2312" w:eastAsia="仿宋_GB2312" w:cs="仿宋_GB2312"/>
          <w:sz w:val="24"/>
          <w:szCs w:val="24"/>
          <w:highlight w:val="none"/>
        </w:rPr>
      </w:pPr>
    </w:p>
    <w:p>
      <w:pPr>
        <w:pageBreakBefore w:val="0"/>
        <w:kinsoku/>
        <w:wordWrap/>
        <w:overflowPunct/>
        <w:topLinePunct w:val="0"/>
        <w:autoSpaceDE/>
        <w:autoSpaceDN/>
        <w:bidi w:val="0"/>
        <w:adjustRightInd/>
        <w:snapToGrid/>
        <w:spacing w:line="500" w:lineRule="exact"/>
        <w:ind w:left="0"/>
        <w:jc w:val="center"/>
        <w:rPr>
          <w:rFonts w:hint="eastAsia" w:ascii="黑体" w:hAnsi="黑体" w:eastAsia="黑体" w:cs="黑体"/>
          <w:b/>
          <w:bCs/>
          <w:kern w:val="0"/>
          <w:sz w:val="24"/>
          <w:szCs w:val="24"/>
          <w:highlight w:val="none"/>
        </w:rPr>
      </w:pPr>
      <w:r>
        <w:rPr>
          <w:rFonts w:hint="eastAsia" w:ascii="黑体" w:hAnsi="黑体" w:eastAsia="黑体" w:cs="黑体"/>
          <w:b/>
          <w:bCs/>
          <w:kern w:val="0"/>
          <w:sz w:val="24"/>
          <w:szCs w:val="24"/>
          <w:highlight w:val="none"/>
          <w:lang w:val="en-US" w:eastAsia="zh-CN"/>
        </w:rPr>
        <w:t>表四：会计学</w:t>
      </w:r>
      <w:r>
        <w:rPr>
          <w:rFonts w:hint="eastAsia" w:ascii="黑体" w:hAnsi="黑体" w:eastAsia="黑体" w:cs="黑体"/>
          <w:b/>
          <w:bCs/>
          <w:kern w:val="0"/>
          <w:sz w:val="24"/>
          <w:szCs w:val="24"/>
          <w:highlight w:val="none"/>
        </w:rPr>
        <w:t>专业</w:t>
      </w:r>
      <w:r>
        <w:rPr>
          <w:rFonts w:hint="eastAsia" w:ascii="黑体" w:hAnsi="黑体" w:eastAsia="黑体" w:cs="黑体"/>
          <w:b/>
          <w:bCs/>
          <w:kern w:val="0"/>
          <w:sz w:val="24"/>
          <w:szCs w:val="24"/>
          <w:highlight w:val="none"/>
          <w:lang w:val="en-US" w:eastAsia="zh-CN"/>
        </w:rPr>
        <w:t>成人高等教育（专升本）毕业生应修学分参考</w:t>
      </w:r>
      <w:r>
        <w:rPr>
          <w:rFonts w:hint="eastAsia" w:ascii="黑体" w:hAnsi="黑体" w:eastAsia="黑体" w:cs="黑体"/>
          <w:b/>
          <w:bCs/>
          <w:kern w:val="0"/>
          <w:sz w:val="24"/>
          <w:szCs w:val="24"/>
          <w:highlight w:val="none"/>
        </w:rPr>
        <w:t>表</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6"/>
        <w:gridCol w:w="991"/>
        <w:gridCol w:w="903"/>
        <w:gridCol w:w="1230"/>
        <w:gridCol w:w="1230"/>
        <w:gridCol w:w="1230"/>
        <w:gridCol w:w="1230"/>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课程类别</w:t>
            </w:r>
          </w:p>
        </w:tc>
        <w:tc>
          <w:tcPr>
            <w:tcW w:w="503"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eastAsia="zh-CN"/>
              </w:rPr>
            </w:pPr>
            <w:r>
              <w:rPr>
                <w:rFonts w:hint="eastAsia" w:ascii="仿宋_GB2312" w:hAnsi="仿宋_GB2312" w:eastAsia="仿宋_GB2312" w:cs="仿宋_GB2312"/>
                <w:b/>
                <w:bCs/>
                <w:sz w:val="21"/>
                <w:szCs w:val="21"/>
                <w:vertAlign w:val="baseline"/>
                <w:lang w:val="en-US" w:eastAsia="zh-CN"/>
              </w:rPr>
              <w:t>课程</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性质</w:t>
            </w:r>
          </w:p>
        </w:tc>
        <w:tc>
          <w:tcPr>
            <w:tcW w:w="458"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lang w:val="en-US"/>
              </w:rPr>
            </w:pPr>
            <w:r>
              <w:rPr>
                <w:rFonts w:hint="eastAsia" w:ascii="仿宋_GB2312" w:hAnsi="仿宋_GB2312" w:eastAsia="仿宋_GB2312" w:cs="仿宋_GB2312"/>
                <w:b/>
                <w:bCs/>
                <w:sz w:val="21"/>
                <w:szCs w:val="21"/>
                <w:vertAlign w:val="baseline"/>
                <w:lang w:val="en-US" w:eastAsia="zh-CN"/>
              </w:rPr>
              <w:t>学分数</w:t>
            </w:r>
          </w:p>
        </w:tc>
        <w:tc>
          <w:tcPr>
            <w:tcW w:w="3125" w:type="pct"/>
            <w:gridSpan w:val="5"/>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各学期应修学分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503"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458"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b/>
                <w:bCs/>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一</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二</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三</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四</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仿宋_GB2312" w:hAnsi="仿宋_GB2312" w:eastAsia="仿宋_GB2312" w:cs="仿宋_GB2312"/>
                <w:b/>
                <w:bCs/>
                <w:sz w:val="21"/>
                <w:szCs w:val="21"/>
                <w:vertAlign w:val="baseline"/>
              </w:rPr>
            </w:pPr>
            <w:r>
              <w:rPr>
                <w:rFonts w:hint="eastAsia" w:ascii="仿宋_GB2312" w:hAnsi="仿宋_GB2312" w:eastAsia="仿宋_GB2312" w:cs="仿宋_GB2312"/>
                <w:b/>
                <w:bCs/>
                <w:sz w:val="21"/>
                <w:szCs w:val="21"/>
                <w:vertAlign w:val="baseline"/>
                <w:lang w:val="en-US" w:eastAsia="zh-CN"/>
              </w:rPr>
              <w:t>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restar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通识教育课程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10.5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11.5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3.5</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0.5</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Merge w:val="continue"/>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选修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学科基础课程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21</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1230" w:type="dxa"/>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3</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专业课程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28</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6</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综合实践课程</w:t>
            </w:r>
          </w:p>
        </w:tc>
        <w:tc>
          <w:tcPr>
            <w:tcW w:w="503"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必修</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14</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2</w:t>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合计</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91</w:t>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20.5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20.5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4"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19.5</w:t>
            </w:r>
            <w:r>
              <w:rPr>
                <w:rFonts w:hint="eastAsia" w:ascii="仿宋_GB2312" w:hAnsi="仿宋_GB2312" w:eastAsia="仿宋_GB2312" w:cs="仿宋_GB2312"/>
                <w:sz w:val="21"/>
                <w:szCs w:val="21"/>
                <w:vertAlign w:val="baseline"/>
              </w:rPr>
              <w:fldChar w:fldCharType="end"/>
            </w:r>
          </w:p>
        </w:tc>
        <w:tc>
          <w:tcPr>
            <w:tcW w:w="626"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rPr>
              <w:fldChar w:fldCharType="begin"/>
            </w:r>
            <w:r>
              <w:rPr>
                <w:rFonts w:hint="eastAsia" w:ascii="仿宋_GB2312" w:hAnsi="仿宋_GB2312" w:eastAsia="仿宋_GB2312" w:cs="仿宋_GB2312"/>
                <w:sz w:val="21"/>
                <w:szCs w:val="21"/>
                <w:vertAlign w:val="baseline"/>
              </w:rPr>
              <w:instrText xml:space="preserve"> =SUM(ABOVE) \* MERGEFORMAT </w:instrText>
            </w:r>
            <w:r>
              <w:rPr>
                <w:rFonts w:hint="eastAsia" w:ascii="仿宋_GB2312" w:hAnsi="仿宋_GB2312" w:eastAsia="仿宋_GB2312" w:cs="仿宋_GB2312"/>
                <w:sz w:val="21"/>
                <w:szCs w:val="21"/>
                <w:vertAlign w:val="baseline"/>
              </w:rPr>
              <w:fldChar w:fldCharType="separate"/>
            </w:r>
            <w:r>
              <w:rPr>
                <w:rFonts w:hint="eastAsia" w:ascii="仿宋_GB2312" w:hAnsi="仿宋_GB2312" w:eastAsia="仿宋_GB2312" w:cs="仿宋_GB2312"/>
                <w:sz w:val="21"/>
                <w:szCs w:val="21"/>
                <w:vertAlign w:val="baseline"/>
              </w:rPr>
              <w:t>11</w:t>
            </w:r>
            <w:r>
              <w:rPr>
                <w:rFonts w:hint="eastAsia" w:ascii="仿宋_GB2312" w:hAnsi="仿宋_GB2312" w:eastAsia="仿宋_GB2312" w:cs="仿宋_GB2312"/>
                <w:sz w:val="21"/>
                <w:szCs w:val="21"/>
                <w:vertAlign w:val="baseline"/>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5" w:type="pct"/>
            <w:gridSpan w:val="2"/>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rPr>
            </w:pPr>
            <w:r>
              <w:rPr>
                <w:rFonts w:hint="eastAsia" w:ascii="仿宋_GB2312" w:hAnsi="仿宋_GB2312" w:eastAsia="仿宋_GB2312" w:cs="仿宋_GB2312"/>
                <w:sz w:val="21"/>
                <w:szCs w:val="21"/>
                <w:vertAlign w:val="baseline"/>
                <w:lang w:val="en-US" w:eastAsia="zh-CN"/>
              </w:rPr>
              <w:t>占总学分百分比（%）</w:t>
            </w:r>
          </w:p>
        </w:tc>
        <w:tc>
          <w:tcPr>
            <w:tcW w:w="458" w:type="pct"/>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jc w:val="center"/>
              <w:textAlignment w:val="auto"/>
              <w:rPr>
                <w:rFonts w:hint="eastAsia" w:ascii="仿宋_GB2312" w:hAnsi="仿宋_GB2312" w:eastAsia="仿宋_GB2312" w:cs="仿宋_GB2312"/>
                <w:sz w:val="21"/>
                <w:szCs w:val="21"/>
                <w:vertAlign w:val="baseline"/>
                <w:lang w:val="en-US" w:eastAsia="zh-CN"/>
              </w:rPr>
            </w:pPr>
            <w:r>
              <w:rPr>
                <w:rFonts w:hint="eastAsia" w:ascii="仿宋_GB2312" w:hAnsi="仿宋_GB2312" w:eastAsia="仿宋_GB2312" w:cs="仿宋_GB2312"/>
                <w:sz w:val="21"/>
                <w:szCs w:val="21"/>
                <w:vertAlign w:val="baseline"/>
                <w:lang w:val="en-US" w:eastAsia="zh-CN"/>
              </w:rPr>
              <w:t>100</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22.5</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3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21.4</w:t>
            </w:r>
          </w:p>
        </w:tc>
        <w:tc>
          <w:tcPr>
            <w:tcW w:w="1240" w:type="dxa"/>
            <w:vAlign w:val="bottom"/>
          </w:tcPr>
          <w:p>
            <w:pPr>
              <w:jc w:val="center"/>
              <w:rPr>
                <w:rFonts w:hint="eastAsia" w:ascii="仿宋_GB2312" w:hAnsi="仿宋_GB2312" w:eastAsia="仿宋_GB2312" w:cs="仿宋_GB2312"/>
                <w:kern w:val="0"/>
                <w:sz w:val="21"/>
                <w:szCs w:val="21"/>
                <w:vertAlign w:val="baseline"/>
                <w:lang w:val="en-US" w:eastAsia="zh-CN" w:bidi="ar-SA"/>
              </w:rPr>
            </w:pPr>
            <w:r>
              <w:rPr>
                <w:rFonts w:hint="eastAsia" w:ascii="仿宋_GB2312" w:hAnsi="仿宋_GB2312" w:eastAsia="仿宋_GB2312" w:cs="仿宋_GB2312"/>
                <w:kern w:val="0"/>
                <w:sz w:val="21"/>
                <w:szCs w:val="21"/>
                <w:vertAlign w:val="baseline"/>
                <w:lang w:val="en-US" w:eastAsia="zh-CN" w:bidi="ar-SA"/>
              </w:rPr>
              <w:t>12.1</w:t>
            </w:r>
          </w:p>
        </w:tc>
      </w:tr>
    </w:tbl>
    <w:p>
      <w:pPr>
        <w:pStyle w:val="2"/>
        <w:ind w:left="0" w:leftChars="0" w:firstLine="0" w:firstLineChars="0"/>
        <w:rPr>
          <w:rFonts w:hint="eastAsia" w:ascii="仿宋_GB2312" w:hAnsi="仿宋_GB2312" w:eastAsia="仿宋_GB2312" w:cs="仿宋_GB2312"/>
          <w:sz w:val="24"/>
          <w:szCs w:val="24"/>
          <w:highlight w:val="none"/>
        </w:rPr>
      </w:pPr>
    </w:p>
    <w:p>
      <w:pPr>
        <w:rPr>
          <w:rFonts w:hint="eastAsia" w:ascii="黑体" w:hAnsi="黑体" w:eastAsia="黑体" w:cs="黑体"/>
          <w:b/>
          <w:bCs/>
          <w:kern w:val="0"/>
          <w:sz w:val="24"/>
          <w:szCs w:val="24"/>
          <w:highlight w:val="none"/>
          <w:lang w:val="en-US" w:eastAsia="zh-CN"/>
        </w:rPr>
      </w:pPr>
      <w:r>
        <w:rPr>
          <w:rFonts w:hint="eastAsia" w:ascii="黑体" w:hAnsi="黑体" w:eastAsia="黑体" w:cs="黑体"/>
          <w:b/>
          <w:bCs/>
          <w:kern w:val="0"/>
          <w:sz w:val="24"/>
          <w:szCs w:val="24"/>
          <w:highlight w:val="none"/>
          <w:lang w:val="en-US" w:eastAsia="zh-CN"/>
        </w:rPr>
        <w:br w:type="page"/>
      </w:r>
    </w:p>
    <w:p>
      <w:pPr>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24"/>
          <w:szCs w:val="24"/>
          <w:highlight w:val="none"/>
        </w:rPr>
      </w:pPr>
      <w:r>
        <w:rPr>
          <w:rFonts w:hint="eastAsia" w:ascii="黑体" w:hAnsi="黑体" w:eastAsia="黑体" w:cs="黑体"/>
          <w:b/>
          <w:bCs/>
          <w:kern w:val="0"/>
          <w:sz w:val="24"/>
          <w:szCs w:val="24"/>
          <w:highlight w:val="none"/>
          <w:lang w:val="en-US" w:eastAsia="zh-CN"/>
        </w:rPr>
        <w:t>表五：会计学</w:t>
      </w:r>
      <w:r>
        <w:rPr>
          <w:rFonts w:hint="eastAsia" w:ascii="黑体" w:hAnsi="黑体" w:eastAsia="黑体" w:cs="黑体"/>
          <w:b/>
          <w:bCs/>
          <w:kern w:val="0"/>
          <w:sz w:val="24"/>
          <w:szCs w:val="24"/>
          <w:highlight w:val="none"/>
        </w:rPr>
        <w:t>专业教学进程安排表</w:t>
      </w:r>
    </w:p>
    <w:tbl>
      <w:tblPr>
        <w:tblStyle w:val="13"/>
        <w:tblpPr w:leftFromText="180" w:rightFromText="180" w:vertAnchor="text" w:horzAnchor="page" w:tblpXSpec="center" w:tblpY="127"/>
        <w:tblOverlap w:val="never"/>
        <w:tblW w:w="101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405"/>
        <w:gridCol w:w="414"/>
        <w:gridCol w:w="414"/>
        <w:gridCol w:w="972"/>
        <w:gridCol w:w="3070"/>
        <w:gridCol w:w="374"/>
        <w:gridCol w:w="374"/>
        <w:gridCol w:w="374"/>
        <w:gridCol w:w="374"/>
        <w:gridCol w:w="374"/>
        <w:gridCol w:w="374"/>
        <w:gridCol w:w="374"/>
        <w:gridCol w:w="374"/>
        <w:gridCol w:w="375"/>
        <w:gridCol w:w="375"/>
        <w:gridCol w:w="375"/>
        <w:gridCol w:w="386"/>
        <w:gridCol w:w="38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类</w:t>
            </w:r>
          </w:p>
          <w:p>
            <w:pPr>
              <w:jc w:val="center"/>
              <w:rPr>
                <w:rFonts w:hint="eastAsia" w:ascii="宋体" w:hAnsi="宋体" w:eastAsia="宋体" w:cs="宋体"/>
                <w:b/>
                <w:bCs/>
                <w:sz w:val="18"/>
                <w:szCs w:val="18"/>
              </w:rPr>
            </w:pPr>
            <w:r>
              <w:rPr>
                <w:rFonts w:hint="eastAsia" w:ascii="宋体" w:hAnsi="宋体" w:eastAsia="宋体" w:cs="宋体"/>
                <w:b/>
                <w:bCs/>
                <w:sz w:val="18"/>
                <w:szCs w:val="18"/>
              </w:rPr>
              <w:t>别</w:t>
            </w:r>
          </w:p>
        </w:tc>
        <w:tc>
          <w:tcPr>
            <w:tcW w:w="414" w:type="dxa"/>
            <w:vMerge w:val="restart"/>
            <w:tcBorders>
              <w:tl2br w:val="nil"/>
              <w:tr2bl w:val="nil"/>
            </w:tcBorders>
            <w:vAlign w:val="center"/>
          </w:tcPr>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课</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程</w:t>
            </w:r>
          </w:p>
          <w:p>
            <w:pPr>
              <w:jc w:val="center"/>
              <w:rPr>
                <w:rFonts w:hint="eastAsia" w:ascii="宋体" w:hAnsi="宋体" w:cs="宋体"/>
                <w:b/>
                <w:bCs/>
                <w:sz w:val="18"/>
                <w:szCs w:val="18"/>
                <w:lang w:val="en-US" w:eastAsia="zh-CN"/>
              </w:rPr>
            </w:pPr>
            <w:r>
              <w:rPr>
                <w:rFonts w:hint="eastAsia" w:ascii="宋体" w:hAnsi="宋体" w:cs="宋体"/>
                <w:b/>
                <w:bCs/>
                <w:sz w:val="18"/>
                <w:szCs w:val="18"/>
                <w:lang w:val="en-US" w:eastAsia="zh-CN"/>
              </w:rPr>
              <w:t>性</w:t>
            </w:r>
          </w:p>
          <w:p>
            <w:pPr>
              <w:jc w:val="center"/>
              <w:rPr>
                <w:rFonts w:hint="default" w:ascii="宋体" w:hAnsi="宋体" w:eastAsia="宋体" w:cs="宋体"/>
                <w:b/>
                <w:bCs/>
                <w:sz w:val="18"/>
                <w:szCs w:val="18"/>
                <w:lang w:val="en-US" w:eastAsia="zh-CN"/>
              </w:rPr>
            </w:pPr>
            <w:r>
              <w:rPr>
                <w:rFonts w:hint="eastAsia" w:ascii="宋体" w:hAnsi="宋体" w:cs="宋体"/>
                <w:b/>
                <w:bCs/>
                <w:sz w:val="18"/>
                <w:szCs w:val="18"/>
                <w:lang w:val="en-US" w:eastAsia="zh-CN"/>
              </w:rPr>
              <w:t>质</w:t>
            </w:r>
          </w:p>
        </w:tc>
        <w:tc>
          <w:tcPr>
            <w:tcW w:w="41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序</w:t>
            </w:r>
          </w:p>
          <w:p>
            <w:pPr>
              <w:jc w:val="center"/>
              <w:rPr>
                <w:rFonts w:hint="eastAsia" w:ascii="宋体" w:hAnsi="宋体" w:eastAsia="宋体" w:cs="宋体"/>
                <w:b/>
                <w:bCs/>
                <w:sz w:val="18"/>
                <w:szCs w:val="18"/>
              </w:rPr>
            </w:pPr>
            <w:r>
              <w:rPr>
                <w:rFonts w:hint="eastAsia" w:ascii="宋体" w:hAnsi="宋体" w:eastAsia="宋体" w:cs="宋体"/>
                <w:b/>
                <w:bCs/>
                <w:sz w:val="18"/>
                <w:szCs w:val="18"/>
              </w:rPr>
              <w:t>号</w:t>
            </w:r>
          </w:p>
        </w:tc>
        <w:tc>
          <w:tcPr>
            <w:tcW w:w="972"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课程</w:t>
            </w:r>
          </w:p>
          <w:p>
            <w:pPr>
              <w:jc w:val="center"/>
              <w:rPr>
                <w:rFonts w:hint="eastAsia" w:ascii="宋体" w:hAnsi="宋体" w:eastAsia="宋体" w:cs="宋体"/>
                <w:b/>
                <w:bCs/>
                <w:sz w:val="18"/>
                <w:szCs w:val="18"/>
              </w:rPr>
            </w:pPr>
            <w:r>
              <w:rPr>
                <w:rFonts w:hint="eastAsia" w:ascii="宋体" w:hAnsi="宋体" w:eastAsia="宋体" w:cs="宋体"/>
                <w:b/>
                <w:bCs/>
                <w:sz w:val="18"/>
                <w:szCs w:val="18"/>
              </w:rPr>
              <w:t>代码</w:t>
            </w:r>
          </w:p>
        </w:tc>
        <w:tc>
          <w:tcPr>
            <w:tcW w:w="3070"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课 程 名 称</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分</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r>
              <w:rPr>
                <w:rFonts w:hint="eastAsia" w:ascii="宋体" w:hAnsi="宋体" w:eastAsia="宋体" w:cs="宋体"/>
                <w:b/>
                <w:bCs/>
                <w:sz w:val="18"/>
                <w:szCs w:val="18"/>
              </w:rPr>
              <w:t>总</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p>
            <w:pPr>
              <w:jc w:val="center"/>
              <w:rPr>
                <w:rFonts w:hint="eastAsia" w:ascii="宋体" w:hAnsi="宋体" w:eastAsia="宋体" w:cs="宋体"/>
                <w:b/>
                <w:bCs/>
                <w:sz w:val="18"/>
                <w:szCs w:val="18"/>
              </w:rPr>
            </w:pPr>
            <w:r>
              <w:rPr>
                <w:rFonts w:hint="eastAsia" w:ascii="宋体" w:hAnsi="宋体" w:eastAsia="宋体" w:cs="宋体"/>
                <w:b/>
                <w:bCs/>
                <w:sz w:val="18"/>
                <w:szCs w:val="18"/>
              </w:rPr>
              <w:t>时</w:t>
            </w:r>
          </w:p>
        </w:tc>
        <w:tc>
          <w:tcPr>
            <w:tcW w:w="2994" w:type="dxa"/>
            <w:gridSpan w:val="8"/>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各学期学时分配</w:t>
            </w:r>
          </w:p>
        </w:tc>
        <w:tc>
          <w:tcPr>
            <w:tcW w:w="1147" w:type="dxa"/>
            <w:gridSpan w:val="3"/>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p>
            <w:pPr>
              <w:jc w:val="center"/>
              <w:rPr>
                <w:rFonts w:hint="eastAsia" w:ascii="宋体" w:hAnsi="宋体" w:eastAsia="宋体" w:cs="宋体"/>
                <w:b/>
                <w:bCs/>
                <w:sz w:val="18"/>
                <w:szCs w:val="18"/>
              </w:rPr>
            </w:pPr>
            <w:r>
              <w:rPr>
                <w:rFonts w:hint="eastAsia" w:ascii="宋体" w:hAnsi="宋体" w:eastAsia="宋体" w:cs="宋体"/>
                <w:b/>
                <w:bCs/>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1022"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上</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线</w:t>
            </w:r>
          </w:p>
          <w:p>
            <w:pPr>
              <w:jc w:val="center"/>
              <w:rPr>
                <w:rFonts w:hint="eastAsia" w:ascii="宋体" w:hAnsi="宋体" w:eastAsia="宋体" w:cs="宋体"/>
                <w:b/>
                <w:bCs/>
                <w:sz w:val="18"/>
                <w:szCs w:val="18"/>
              </w:rPr>
            </w:pPr>
            <w:r>
              <w:rPr>
                <w:rFonts w:hint="eastAsia" w:ascii="宋体" w:hAnsi="宋体" w:eastAsia="宋体" w:cs="宋体"/>
                <w:b/>
                <w:bCs/>
                <w:sz w:val="18"/>
                <w:szCs w:val="18"/>
              </w:rPr>
              <w:t>下</w:t>
            </w:r>
          </w:p>
          <w:p>
            <w:pPr>
              <w:jc w:val="center"/>
              <w:rPr>
                <w:rFonts w:hint="eastAsia" w:ascii="宋体" w:hAnsi="宋体" w:eastAsia="宋体" w:cs="宋体"/>
                <w:b/>
                <w:bCs/>
                <w:sz w:val="18"/>
                <w:szCs w:val="18"/>
              </w:rPr>
            </w:pPr>
            <w:r>
              <w:rPr>
                <w:rFonts w:hint="eastAsia" w:ascii="宋体" w:hAnsi="宋体" w:eastAsia="宋体" w:cs="宋体"/>
                <w:b/>
                <w:bCs/>
                <w:sz w:val="18"/>
                <w:szCs w:val="18"/>
              </w:rPr>
              <w:t>教</w:t>
            </w:r>
          </w:p>
          <w:p>
            <w:pPr>
              <w:jc w:val="center"/>
              <w:rPr>
                <w:rFonts w:hint="eastAsia" w:ascii="宋体" w:hAnsi="宋体" w:eastAsia="宋体" w:cs="宋体"/>
                <w:b/>
                <w:bCs/>
                <w:sz w:val="18"/>
                <w:szCs w:val="18"/>
              </w:rPr>
            </w:pPr>
            <w:r>
              <w:rPr>
                <w:rFonts w:hint="eastAsia" w:ascii="宋体" w:hAnsi="宋体" w:eastAsia="宋体" w:cs="宋体"/>
                <w:b/>
                <w:bCs/>
                <w:sz w:val="18"/>
                <w:szCs w:val="18"/>
              </w:rPr>
              <w:t>学</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验</w:t>
            </w:r>
          </w:p>
          <w:p>
            <w:pPr>
              <w:jc w:val="center"/>
              <w:rPr>
                <w:rFonts w:hint="eastAsia" w:ascii="宋体" w:hAnsi="宋体" w:eastAsia="宋体" w:cs="宋体"/>
                <w:b/>
                <w:bCs/>
                <w:sz w:val="18"/>
                <w:szCs w:val="18"/>
              </w:rPr>
            </w:pPr>
            <w:r>
              <w:rPr>
                <w:rFonts w:hint="eastAsia" w:ascii="宋体" w:hAnsi="宋体" w:eastAsia="宋体" w:cs="宋体"/>
                <w:b/>
                <w:bCs/>
                <w:sz w:val="18"/>
                <w:szCs w:val="18"/>
              </w:rPr>
              <w:t>实</w:t>
            </w:r>
          </w:p>
          <w:p>
            <w:pPr>
              <w:jc w:val="center"/>
              <w:rPr>
                <w:rFonts w:hint="eastAsia" w:ascii="宋体" w:hAnsi="宋体" w:eastAsia="宋体" w:cs="宋体"/>
                <w:b/>
                <w:bCs/>
                <w:sz w:val="18"/>
                <w:szCs w:val="18"/>
              </w:rPr>
            </w:pPr>
            <w:r>
              <w:rPr>
                <w:rFonts w:hint="eastAsia" w:ascii="宋体" w:hAnsi="宋体" w:eastAsia="宋体" w:cs="宋体"/>
                <w:b/>
                <w:bCs/>
                <w:sz w:val="18"/>
                <w:szCs w:val="18"/>
              </w:rPr>
              <w:t>训</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w:t>
            </w:r>
          </w:p>
        </w:tc>
        <w:tc>
          <w:tcPr>
            <w:tcW w:w="374"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四</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五</w:t>
            </w:r>
          </w:p>
        </w:tc>
        <w:tc>
          <w:tcPr>
            <w:tcW w:w="375" w:type="dxa"/>
            <w:vMerge w:val="restart"/>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过</w:t>
            </w:r>
          </w:p>
          <w:p>
            <w:pPr>
              <w:jc w:val="center"/>
              <w:rPr>
                <w:rFonts w:hint="eastAsia" w:ascii="宋体" w:hAnsi="宋体" w:eastAsia="宋体" w:cs="宋体"/>
                <w:b/>
                <w:bCs/>
                <w:sz w:val="18"/>
                <w:szCs w:val="18"/>
              </w:rPr>
            </w:pPr>
            <w:r>
              <w:rPr>
                <w:rFonts w:hint="eastAsia" w:ascii="宋体" w:hAnsi="宋体" w:eastAsia="宋体" w:cs="宋体"/>
                <w:b/>
                <w:bCs/>
                <w:sz w:val="18"/>
                <w:szCs w:val="18"/>
              </w:rPr>
              <w:t>程</w:t>
            </w:r>
          </w:p>
          <w:p>
            <w:pPr>
              <w:jc w:val="center"/>
              <w:rPr>
                <w:rFonts w:hint="eastAsia" w:ascii="宋体" w:hAnsi="宋体" w:eastAsia="宋体" w:cs="宋体"/>
                <w:b/>
                <w:bCs/>
                <w:sz w:val="18"/>
                <w:szCs w:val="18"/>
              </w:rPr>
            </w:pPr>
            <w:r>
              <w:rPr>
                <w:rFonts w:hint="eastAsia" w:ascii="宋体" w:hAnsi="宋体" w:eastAsia="宋体" w:cs="宋体"/>
                <w:b/>
                <w:bCs/>
                <w:sz w:val="18"/>
                <w:szCs w:val="18"/>
              </w:rPr>
              <w:t>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w:t>
            </w:r>
          </w:p>
          <w:p>
            <w:pPr>
              <w:jc w:val="center"/>
              <w:rPr>
                <w:rFonts w:hint="eastAsia" w:ascii="宋体" w:hAnsi="宋体" w:eastAsia="宋体" w:cs="宋体"/>
                <w:b/>
                <w:bCs/>
                <w:sz w:val="18"/>
                <w:szCs w:val="18"/>
              </w:rPr>
            </w:pPr>
            <w:r>
              <w:rPr>
                <w:rFonts w:hint="eastAsia" w:ascii="宋体" w:hAnsi="宋体" w:eastAsia="宋体" w:cs="宋体"/>
                <w:b/>
                <w:bCs/>
                <w:sz w:val="18"/>
                <w:szCs w:val="18"/>
              </w:rPr>
              <w:t>核</w:t>
            </w:r>
          </w:p>
        </w:tc>
        <w:tc>
          <w:tcPr>
            <w:tcW w:w="772" w:type="dxa"/>
            <w:gridSpan w:val="2"/>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终结性</w:t>
            </w:r>
          </w:p>
          <w:p>
            <w:pPr>
              <w:jc w:val="center"/>
              <w:rPr>
                <w:rFonts w:hint="eastAsia" w:ascii="宋体" w:hAnsi="宋体" w:eastAsia="宋体" w:cs="宋体"/>
                <w:b/>
                <w:bCs/>
                <w:sz w:val="18"/>
                <w:szCs w:val="18"/>
              </w:rPr>
            </w:pPr>
            <w:r>
              <w:rPr>
                <w:rFonts w:hint="eastAsia" w:ascii="宋体" w:hAnsi="宋体" w:eastAsia="宋体" w:cs="宋体"/>
                <w:b/>
                <w:bCs/>
                <w:sz w:val="18"/>
                <w:szCs w:val="18"/>
              </w:rPr>
              <w:t>考核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69" w:hRule="atLeast"/>
          <w:jc w:val="center"/>
        </w:trPr>
        <w:tc>
          <w:tcPr>
            <w:tcW w:w="405"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414" w:type="dxa"/>
            <w:vMerge w:val="continue"/>
            <w:tcBorders>
              <w:tl2br w:val="nil"/>
              <w:tr2bl w:val="nil"/>
            </w:tcBorders>
            <w:vAlign w:val="center"/>
          </w:tcPr>
          <w:p>
            <w:pPr>
              <w:jc w:val="center"/>
              <w:rPr>
                <w:rFonts w:hint="eastAsia" w:ascii="宋体" w:hAnsi="宋体" w:eastAsia="宋体" w:cs="宋体"/>
                <w:b/>
                <w:bCs/>
                <w:sz w:val="18"/>
                <w:szCs w:val="18"/>
              </w:rPr>
            </w:pPr>
          </w:p>
        </w:tc>
        <w:tc>
          <w:tcPr>
            <w:tcW w:w="972" w:type="dxa"/>
            <w:vMerge w:val="continue"/>
            <w:tcBorders>
              <w:tl2br w:val="nil"/>
              <w:tr2bl w:val="nil"/>
            </w:tcBorders>
            <w:vAlign w:val="center"/>
          </w:tcPr>
          <w:p>
            <w:pPr>
              <w:jc w:val="center"/>
              <w:rPr>
                <w:rFonts w:hint="eastAsia" w:ascii="宋体" w:hAnsi="宋体" w:eastAsia="宋体" w:cs="宋体"/>
                <w:b/>
                <w:bCs/>
                <w:sz w:val="18"/>
                <w:szCs w:val="18"/>
              </w:rPr>
            </w:pPr>
          </w:p>
        </w:tc>
        <w:tc>
          <w:tcPr>
            <w:tcW w:w="3070"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4"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75" w:type="dxa"/>
            <w:vMerge w:val="continue"/>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闭卷</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开卷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eastAsia="宋体" w:cs="宋体"/>
                <w:sz w:val="18"/>
                <w:szCs w:val="18"/>
              </w:rPr>
            </w:pPr>
            <w:bookmarkStart w:id="0" w:name="_Hlk263065686"/>
            <w:r>
              <w:rPr>
                <w:rFonts w:hint="eastAsia" w:ascii="宋体" w:hAnsi="宋体" w:eastAsia="宋体" w:cs="宋体"/>
                <w:sz w:val="18"/>
                <w:szCs w:val="18"/>
              </w:rPr>
              <w:t>通</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识</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教</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育</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课</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程</w:t>
            </w:r>
          </w:p>
        </w:tc>
        <w:tc>
          <w:tcPr>
            <w:tcW w:w="414" w:type="dxa"/>
            <w:vMerge w:val="restart"/>
            <w:tcBorders>
              <w:tl2br w:val="nil"/>
              <w:tr2bl w:val="nil"/>
            </w:tcBorders>
            <w:vAlign w:val="center"/>
          </w:tcPr>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思</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想</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政</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治</w:t>
            </w:r>
          </w:p>
          <w:p>
            <w:pPr>
              <w:spacing w:line="280" w:lineRule="exact"/>
              <w:jc w:val="center"/>
              <w:rPr>
                <w:rFonts w:hint="eastAsia" w:ascii="宋体" w:hAnsi="宋体" w:eastAsia="宋体" w:cs="宋体"/>
                <w:sz w:val="18"/>
                <w:szCs w:val="18"/>
                <w:lang w:eastAsia="zh-CN"/>
              </w:rPr>
            </w:pPr>
            <w:r>
              <w:rPr>
                <w:rFonts w:hint="eastAsia" w:ascii="宋体" w:hAnsi="宋体" w:cs="宋体"/>
                <w:sz w:val="18"/>
                <w:szCs w:val="18"/>
                <w:lang w:val="en-US" w:eastAsia="zh-CN"/>
              </w:rPr>
              <w:t>·</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必</w:t>
            </w:r>
          </w:p>
          <w:p>
            <w:pPr>
              <w:spacing w:line="280" w:lineRule="exact"/>
              <w:jc w:val="center"/>
              <w:rPr>
                <w:rFonts w:hint="eastAsia" w:ascii="宋体" w:hAnsi="宋体" w:eastAsia="宋体" w:cs="宋体"/>
                <w:sz w:val="18"/>
                <w:szCs w:val="18"/>
              </w:rPr>
            </w:pPr>
            <w:r>
              <w:rPr>
                <w:rFonts w:hint="eastAsia" w:ascii="宋体" w:hAnsi="宋体" w:eastAsia="宋体" w:cs="宋体"/>
                <w:sz w:val="18"/>
                <w:szCs w:val="18"/>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0299053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思想道德与法治</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p>
        </w:tc>
      </w:tr>
      <w:bookmarkEnd w:id="0"/>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0200073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中国近代史纲要</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形势与政策Ⅰ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马克思主义基本原理概论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spacing w:val="-17"/>
                <w:kern w:val="0"/>
                <w:sz w:val="18"/>
                <w:szCs w:val="18"/>
                <w:highlight w:val="none"/>
                <w:u w:val="none"/>
                <w:lang w:val="en-US" w:eastAsia="zh-CN" w:bidi="ar"/>
              </w:rPr>
              <w:t>毛泽东思想与中国特色社会主义理论体系概论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0200065</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形势与政策Ⅱ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08170002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spacing w:val="-6"/>
                <w:kern w:val="0"/>
                <w:sz w:val="18"/>
                <w:szCs w:val="18"/>
                <w:highlight w:val="none"/>
                <w:u w:val="none"/>
                <w:lang w:val="en-US" w:eastAsia="zh-CN" w:bidi="ar"/>
              </w:rPr>
              <w:t>习近平新时代中国特色社会主义思想概论</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形势与政策Ⅲ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0200067</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形势与政策Ⅳ</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0.5</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9</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思想政治</w:t>
            </w:r>
          </w:p>
          <w:p>
            <w:pPr>
              <w:spacing w:line="280" w:lineRule="exact"/>
              <w:jc w:val="center"/>
              <w:rPr>
                <w:rFonts w:hint="eastAsia" w:ascii="宋体" w:hAnsi="宋体" w:cs="宋体"/>
                <w:sz w:val="16"/>
                <w:szCs w:val="16"/>
                <w:lang w:val="en-US" w:eastAsia="zh-CN"/>
              </w:rPr>
            </w:pPr>
            <w:r>
              <w:rPr>
                <w:rFonts w:hint="eastAsia" w:ascii="宋体" w:hAnsi="宋体" w:cs="宋体"/>
                <w:sz w:val="16"/>
                <w:szCs w:val="16"/>
                <w:lang w:val="en-US" w:eastAsia="zh-CN"/>
              </w:rPr>
              <w:t>·</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限选</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党史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新中国史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改革开放史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08060001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社会主义发展史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运动与健</w:t>
            </w:r>
          </w:p>
          <w:p>
            <w:pPr>
              <w:keepNext w:val="0"/>
              <w:keepLines w:val="0"/>
              <w:pageBreakBefore w:val="0"/>
              <w:widowControl w:val="0"/>
              <w:kinsoku/>
              <w:wordWrap/>
              <w:overflowPunct/>
              <w:topLinePunct w:val="0"/>
              <w:autoSpaceDE/>
              <w:autoSpaceDN/>
              <w:bidi w:val="0"/>
              <w:adjustRightInd/>
              <w:snapToGrid/>
              <w:spacing w:line="10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康</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0400162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highlight w:val="none"/>
                <w:u w:val="none"/>
                <w:lang w:val="en-US" w:eastAsia="zh-CN" w:bidi="ar"/>
              </w:rPr>
              <w:t>心理健康</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10"/>
                <w:szCs w:val="10"/>
              </w:rPr>
            </w:pPr>
            <w:r>
              <w:rPr>
                <w:rFonts w:hint="eastAsia" w:ascii="宋体" w:hAnsi="宋体" w:eastAsia="宋体" w:cs="宋体"/>
                <w:sz w:val="10"/>
                <w:szCs w:val="10"/>
              </w:rPr>
              <w:t>自然与科</w:t>
            </w:r>
          </w:p>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eastAsia" w:ascii="宋体" w:hAnsi="宋体" w:eastAsia="宋体" w:cs="宋体"/>
                <w:sz w:val="8"/>
                <w:szCs w:val="8"/>
              </w:rPr>
            </w:pPr>
            <w:r>
              <w:rPr>
                <w:rFonts w:hint="eastAsia" w:ascii="宋体" w:hAnsi="宋体" w:eastAsia="宋体" w:cs="宋体"/>
                <w:sz w:val="10"/>
                <w:szCs w:val="10"/>
              </w:rPr>
              <w:t>技</w:t>
            </w:r>
            <w:r>
              <w:rPr>
                <w:rFonts w:hint="eastAsia" w:ascii="宋体" w:hAnsi="宋体" w:cs="宋体"/>
                <w:sz w:val="10"/>
                <w:szCs w:val="10"/>
                <w:lang w:val="en-US" w:eastAsia="zh-CN"/>
              </w:rPr>
              <w:t>·</w:t>
            </w:r>
            <w:r>
              <w:rPr>
                <w:rFonts w:hint="eastAsia" w:ascii="宋体" w:hAnsi="宋体" w:eastAsia="宋体" w:cs="宋体"/>
                <w:sz w:val="10"/>
                <w:szCs w:val="10"/>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0200212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计算机应用基础</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表达</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pacing w:val="0"/>
                <w:sz w:val="13"/>
                <w:szCs w:val="13"/>
              </w:rPr>
            </w:pPr>
            <w:r>
              <w:rPr>
                <w:rFonts w:hint="eastAsia" w:ascii="宋体" w:hAnsi="宋体" w:eastAsia="宋体" w:cs="宋体"/>
                <w:spacing w:val="0"/>
                <w:sz w:val="13"/>
                <w:szCs w:val="13"/>
              </w:rPr>
              <w:t>与沟</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cs="宋体"/>
                <w:spacing w:val="0"/>
                <w:sz w:val="13"/>
                <w:szCs w:val="13"/>
                <w:lang w:val="en-US" w:eastAsia="zh-CN"/>
              </w:rPr>
            </w:pPr>
            <w:r>
              <w:rPr>
                <w:rFonts w:hint="eastAsia" w:ascii="宋体" w:hAnsi="宋体" w:eastAsia="宋体" w:cs="宋体"/>
                <w:spacing w:val="0"/>
                <w:sz w:val="13"/>
                <w:szCs w:val="13"/>
              </w:rPr>
              <w:t>通</w:t>
            </w:r>
            <w:r>
              <w:rPr>
                <w:rFonts w:hint="eastAsia" w:ascii="宋体" w:hAnsi="宋体" w:cs="宋体"/>
                <w:spacing w:val="0"/>
                <w:sz w:val="13"/>
                <w:szCs w:val="13"/>
                <w:lang w:val="en-US" w:eastAsia="zh-CN"/>
              </w:rPr>
              <w:t>·</w:t>
            </w:r>
          </w:p>
          <w:p>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hint="eastAsia" w:ascii="宋体" w:hAnsi="宋体" w:eastAsia="宋体" w:cs="宋体"/>
                <w:sz w:val="13"/>
                <w:szCs w:val="13"/>
              </w:rPr>
            </w:pPr>
            <w:r>
              <w:rPr>
                <w:rFonts w:hint="eastAsia" w:ascii="宋体" w:hAnsi="宋体" w:eastAsia="宋体" w:cs="宋体"/>
                <w:spacing w:val="0"/>
                <w:sz w:val="13"/>
                <w:szCs w:val="13"/>
              </w:rPr>
              <w:t>必修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大学英语Ⅰ</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0599022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大学英语Ⅱ</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28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学</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科</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基</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础</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0101033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管理学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0220303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基础会计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微观经济学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21</w:t>
            </w:r>
          </w:p>
        </w:tc>
        <w:tc>
          <w:tcPr>
            <w:tcW w:w="972"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02010</w:t>
            </w:r>
            <w:r>
              <w:rPr>
                <w:rFonts w:hint="eastAsia" w:ascii="宋体" w:hAnsi="宋体" w:cs="宋体"/>
                <w:i w:val="0"/>
                <w:iCs w:val="0"/>
                <w:color w:val="000000"/>
                <w:kern w:val="0"/>
                <w:sz w:val="18"/>
                <w:szCs w:val="18"/>
                <w:u w:val="none"/>
                <w:lang w:val="en-US" w:eastAsia="zh-CN" w:bidi="ar"/>
              </w:rPr>
              <w:t>23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宏观经济学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0723013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统计学</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1111003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经济法（CPA）</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val="0"/>
                <w:bCs w:val="0"/>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1111043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税法</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i w:val="0"/>
                <w:iCs w:val="0"/>
                <w:color w:val="000000"/>
                <w:kern w:val="0"/>
                <w:sz w:val="18"/>
                <w:szCs w:val="18"/>
                <w:u w:val="none"/>
                <w:lang w:val="en-US" w:eastAsia="zh-CN" w:bidi="ar"/>
              </w:rPr>
            </w:pPr>
          </w:p>
        </w:tc>
        <w:tc>
          <w:tcPr>
            <w:tcW w:w="374" w:type="dxa"/>
            <w:tcBorders>
              <w:tl2br w:val="nil"/>
              <w:tr2bl w:val="nil"/>
            </w:tcBorders>
            <w:vAlign w:val="center"/>
          </w:tcPr>
          <w:p>
            <w:pPr>
              <w:jc w:val="center"/>
              <w:rPr>
                <w:rFonts w:hint="eastAsia" w:ascii="宋体" w:hAnsi="宋体" w:eastAsia="宋体" w:cs="宋体"/>
                <w:b w:val="0"/>
                <w:bCs w:val="0"/>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1111452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会计职业道德</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1111074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中级财务会计学（上）</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64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0202043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中级财务会计学（下）</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46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0202064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财务管理</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29</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1111033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管理会计</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专</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业</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30</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0220043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高级财务会计学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31</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0220083</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审计学</w:t>
            </w:r>
            <w:r>
              <w:rPr>
                <w:rFonts w:hint="eastAsia" w:ascii="仿宋_GB2312" w:hAnsi="仿宋_GB2312" w:eastAsia="仿宋_GB2312" w:cs="仿宋_GB2312"/>
                <w:sz w:val="24"/>
                <w:szCs w:val="24"/>
              </w:rPr>
              <w:t>*</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54</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32</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1111294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会计信息系统</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vMerge w:val="continue"/>
            <w:tcBorders>
              <w:tl2br w:val="nil"/>
              <w:tr2bl w:val="nil"/>
            </w:tcBorders>
            <w:vAlign w:val="center"/>
          </w:tcPr>
          <w:p>
            <w:pPr>
              <w:spacing w:line="280" w:lineRule="exact"/>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33</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1111972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财务报表分析</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综</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合</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实</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践</w:t>
            </w:r>
          </w:p>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课</w:t>
            </w:r>
          </w:p>
          <w:p>
            <w:pPr>
              <w:spacing w:line="280" w:lineRule="exact"/>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程</w:t>
            </w:r>
          </w:p>
        </w:tc>
        <w:tc>
          <w:tcPr>
            <w:tcW w:w="414" w:type="dxa"/>
            <w:vMerge w:val="restart"/>
            <w:tcBorders>
              <w:tl2br w:val="nil"/>
              <w:tr2bl w:val="nil"/>
            </w:tcBorders>
            <w:vAlign w:val="center"/>
          </w:tcPr>
          <w:p>
            <w:pPr>
              <w:spacing w:line="280" w:lineRule="exact"/>
              <w:jc w:val="center"/>
              <w:rPr>
                <w:rFonts w:hint="eastAsia" w:ascii="宋体" w:hAnsi="宋体" w:cs="宋体"/>
                <w:sz w:val="18"/>
                <w:szCs w:val="18"/>
                <w:lang w:val="en-US" w:eastAsia="zh-CN"/>
              </w:rPr>
            </w:pPr>
            <w:r>
              <w:rPr>
                <w:rFonts w:hint="eastAsia" w:ascii="宋体" w:hAnsi="宋体" w:cs="宋体"/>
                <w:sz w:val="18"/>
                <w:szCs w:val="18"/>
                <w:lang w:val="en-US" w:eastAsia="zh-CN"/>
              </w:rPr>
              <w:t>必</w:t>
            </w:r>
          </w:p>
          <w:p>
            <w:pPr>
              <w:spacing w:line="280" w:lineRule="exact"/>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修</w:t>
            </w: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34</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0000112</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入学教育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35</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0000111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劳动教育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2</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36</w:t>
            </w: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36</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0000041</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毕业教育</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37</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0000024</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毕业实习</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4</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72</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405"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vMerge w:val="continue"/>
            <w:tcBorders>
              <w:tl2br w:val="nil"/>
              <w:tr2bl w:val="nil"/>
            </w:tcBorders>
            <w:vAlign w:val="center"/>
          </w:tcPr>
          <w:p>
            <w:pPr>
              <w:jc w:val="center"/>
              <w:rPr>
                <w:rFonts w:hint="eastAsia" w:ascii="宋体" w:hAnsi="宋体" w:eastAsia="宋体" w:cs="宋体"/>
                <w:sz w:val="18"/>
                <w:szCs w:val="18"/>
              </w:rPr>
            </w:pPr>
          </w:p>
        </w:tc>
        <w:tc>
          <w:tcPr>
            <w:tcW w:w="41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38</w:t>
            </w:r>
          </w:p>
        </w:tc>
        <w:tc>
          <w:tcPr>
            <w:tcW w:w="972"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0521016</w:t>
            </w:r>
          </w:p>
        </w:tc>
        <w:tc>
          <w:tcPr>
            <w:tcW w:w="3070"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毕业论文（设计）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6</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4"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jc w:val="center"/>
              <w:rPr>
                <w:rFonts w:hint="eastAsia" w:ascii="宋体" w:hAnsi="宋体" w:eastAsia="宋体" w:cs="宋体"/>
                <w:b/>
                <w:bCs/>
                <w:sz w:val="18"/>
                <w:szCs w:val="18"/>
              </w:rPr>
            </w:pP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108</w:t>
            </w:r>
          </w:p>
        </w:tc>
        <w:tc>
          <w:tcPr>
            <w:tcW w:w="375"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c>
          <w:tcPr>
            <w:tcW w:w="386" w:type="dxa"/>
            <w:tcBorders>
              <w:tl2br w:val="nil"/>
              <w:tr2bl w:val="nil"/>
            </w:tcBorders>
            <w:vAlign w:val="center"/>
          </w:tcPr>
          <w:p>
            <w:pPr>
              <w:jc w:val="center"/>
              <w:rPr>
                <w:rFonts w:hint="eastAsia" w:ascii="宋体" w:hAnsi="宋体" w:eastAsia="宋体" w:cs="宋体"/>
                <w:b/>
                <w:bCs/>
                <w:sz w:val="18"/>
                <w:szCs w:val="18"/>
              </w:rPr>
            </w:pPr>
          </w:p>
        </w:tc>
        <w:tc>
          <w:tcPr>
            <w:tcW w:w="386"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b/>
                <w:bCs/>
                <w:sz w:val="18"/>
                <w:szCs w:val="18"/>
              </w:rPr>
            </w:pPr>
            <w:r>
              <w:rPr>
                <w:rFonts w:hint="eastAsia" w:ascii="宋体" w:hAnsi="宋体" w:eastAsia="宋体" w:cs="宋体"/>
                <w:i w:val="0"/>
                <w:iCs w:val="0"/>
                <w:color w:val="000000"/>
                <w:kern w:val="0"/>
                <w:sz w:val="18"/>
                <w:szCs w:val="18"/>
                <w:u w:val="none"/>
                <w:lang w:val="en-US" w:eastAsia="zh-CN" w:bidi="ar"/>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5275" w:type="dxa"/>
            <w:gridSpan w:val="5"/>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 xml:space="preserve">  合  计</w:t>
            </w:r>
          </w:p>
        </w:tc>
        <w:tc>
          <w:tcPr>
            <w:tcW w:w="374"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sz w:val="16"/>
                <w:szCs w:val="16"/>
              </w:rPr>
            </w:pPr>
            <w:r>
              <w:rPr>
                <w:rFonts w:hint="eastAsia" w:ascii="宋体" w:hAnsi="宋体" w:eastAsia="宋体" w:cs="宋体"/>
                <w:i w:val="0"/>
                <w:iCs w:val="0"/>
                <w:color w:val="000000"/>
                <w:kern w:val="0"/>
                <w:sz w:val="16"/>
                <w:szCs w:val="16"/>
                <w:u w:val="none"/>
                <w:lang w:val="en-US" w:eastAsia="zh-CN" w:bidi="ar"/>
              </w:rPr>
              <w:t>9</w:t>
            </w:r>
            <w:r>
              <w:rPr>
                <w:rFonts w:hint="eastAsia" w:ascii="宋体" w:hAnsi="宋体" w:cs="宋体"/>
                <w:i w:val="0"/>
                <w:iCs w:val="0"/>
                <w:color w:val="000000"/>
                <w:kern w:val="0"/>
                <w:sz w:val="16"/>
                <w:szCs w:val="16"/>
                <w:u w:val="none"/>
                <w:lang w:val="en-US" w:eastAsia="zh-CN" w:bidi="ar"/>
              </w:rPr>
              <w:t>1</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1638</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1390</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132</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224</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369</w:t>
            </w:r>
          </w:p>
        </w:tc>
        <w:tc>
          <w:tcPr>
            <w:tcW w:w="374"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351</w:t>
            </w:r>
          </w:p>
        </w:tc>
        <w:tc>
          <w:tcPr>
            <w:tcW w:w="375" w:type="dxa"/>
            <w:tcBorders>
              <w:tl2br w:val="nil"/>
              <w:tr2bl w:val="nil"/>
            </w:tcBorders>
            <w:vAlign w:val="center"/>
          </w:tcPr>
          <w:p>
            <w:pPr>
              <w:keepNext w:val="0"/>
              <w:keepLines w:val="0"/>
              <w:widowControl/>
              <w:suppressLineNumbers w:val="0"/>
              <w:jc w:val="center"/>
              <w:textAlignment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198</w:t>
            </w:r>
          </w:p>
        </w:tc>
        <w:tc>
          <w:tcPr>
            <w:tcW w:w="1147" w:type="dxa"/>
            <w:gridSpan w:val="3"/>
            <w:vMerge w:val="restart"/>
            <w:tcBorders>
              <w:tl2br w:val="nil"/>
              <w:tr2bl w:val="nil"/>
            </w:tcBorders>
            <w:vAlign w:val="center"/>
          </w:tcPr>
          <w:p>
            <w:pPr>
              <w:snapToGrid w:val="0"/>
              <w:jc w:val="center"/>
              <w:rPr>
                <w:rFonts w:hint="eastAsia" w:ascii="宋体" w:hAnsi="宋体" w:eastAsia="宋体" w:cs="宋体"/>
                <w:b/>
                <w:bCs/>
                <w:sz w:val="18"/>
                <w:szCs w:val="18"/>
              </w:rPr>
            </w:pPr>
          </w:p>
          <w:p>
            <w:pPr>
              <w:snapToGrid w:val="0"/>
              <w:jc w:val="center"/>
              <w:rPr>
                <w:rFonts w:hint="eastAsia" w:ascii="宋体" w:hAnsi="宋体" w:eastAsia="宋体" w:cs="宋体"/>
                <w:b/>
                <w:bCs/>
                <w:sz w:val="18"/>
                <w:szCs w:val="18"/>
              </w:rPr>
            </w:pPr>
          </w:p>
          <w:p>
            <w:pPr>
              <w:jc w:val="center"/>
              <w:rPr>
                <w:rFonts w:hint="eastAsia" w:ascii="宋体" w:hAnsi="宋体" w:eastAsia="宋体" w:cs="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386" w:hRule="exact"/>
          <w:jc w:val="center"/>
        </w:trPr>
        <w:tc>
          <w:tcPr>
            <w:tcW w:w="6023" w:type="dxa"/>
            <w:gridSpan w:val="7"/>
            <w:tcBorders>
              <w:tl2br w:val="nil"/>
              <w:tr2bl w:val="nil"/>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百分比（%）</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78.3</w:t>
            </w:r>
            <w:bookmarkStart w:id="1" w:name="_GoBack"/>
            <w:bookmarkEnd w:id="1"/>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8.1</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13.7</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22.5</w:t>
            </w:r>
          </w:p>
        </w:tc>
        <w:tc>
          <w:tcPr>
            <w:tcW w:w="374"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21.4</w:t>
            </w:r>
          </w:p>
        </w:tc>
        <w:tc>
          <w:tcPr>
            <w:tcW w:w="375" w:type="dxa"/>
            <w:tcBorders>
              <w:tl2br w:val="nil"/>
              <w:tr2bl w:val="nil"/>
            </w:tcBorders>
            <w:vAlign w:val="center"/>
          </w:tcPr>
          <w:p>
            <w:pPr>
              <w:jc w:val="center"/>
              <w:rPr>
                <w:rFonts w:hint="default" w:ascii="宋体" w:hAnsi="宋体" w:eastAsia="宋体" w:cs="宋体"/>
                <w:b w:val="0"/>
                <w:bCs w:val="0"/>
                <w:sz w:val="16"/>
                <w:szCs w:val="16"/>
                <w:lang w:val="en-US" w:eastAsia="zh-CN"/>
              </w:rPr>
            </w:pPr>
            <w:r>
              <w:rPr>
                <w:rFonts w:hint="eastAsia" w:ascii="宋体" w:hAnsi="宋体" w:cs="宋体"/>
                <w:b w:val="0"/>
                <w:bCs w:val="0"/>
                <w:sz w:val="16"/>
                <w:szCs w:val="16"/>
                <w:lang w:val="en-US" w:eastAsia="zh-CN"/>
              </w:rPr>
              <w:t>12.1</w:t>
            </w:r>
          </w:p>
        </w:tc>
        <w:tc>
          <w:tcPr>
            <w:tcW w:w="1147" w:type="dxa"/>
            <w:gridSpan w:val="3"/>
            <w:vMerge w:val="continue"/>
            <w:tcBorders>
              <w:tl2br w:val="nil"/>
              <w:tr2bl w:val="nil"/>
            </w:tcBorders>
            <w:vAlign w:val="center"/>
          </w:tcPr>
          <w:p>
            <w:pPr>
              <w:jc w:val="center"/>
              <w:rPr>
                <w:rFonts w:hint="eastAsia" w:ascii="宋体" w:hAnsi="宋体" w:eastAsia="宋体" w:cs="宋体"/>
                <w:b/>
                <w:bCs/>
                <w:sz w:val="18"/>
                <w:szCs w:val="18"/>
              </w:rPr>
            </w:pPr>
          </w:p>
        </w:tc>
      </w:tr>
    </w:tbl>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注释：</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1.专业核心课程用*表示；</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2.每门课的考核要求见“</w:t>
      </w:r>
      <w:r>
        <w:rPr>
          <w:rFonts w:hint="eastAsia" w:asciiTheme="minorEastAsia" w:hAnsiTheme="minorEastAsia" w:eastAsiaTheme="minorEastAsia" w:cstheme="minorEastAsia"/>
          <w:sz w:val="21"/>
          <w:szCs w:val="21"/>
          <w:lang w:val="en-US" w:eastAsia="zh-CN"/>
        </w:rPr>
        <w:t>会计学</w:t>
      </w:r>
      <w:r>
        <w:rPr>
          <w:rFonts w:hint="eastAsia" w:asciiTheme="minorEastAsia" w:hAnsiTheme="minorEastAsia" w:eastAsiaTheme="minorEastAsia" w:cstheme="minorEastAsia"/>
          <w:sz w:val="21"/>
          <w:szCs w:val="21"/>
        </w:rPr>
        <w:t>专业教学进程安排表”，打“√”的为该门课的考核方式</w:t>
      </w:r>
      <w:r>
        <w:rPr>
          <w:rFonts w:hint="eastAsia" w:asciiTheme="minorEastAsia" w:hAnsiTheme="minorEastAsia" w:eastAsiaTheme="minorEastAsia" w:cstheme="minorEastAsia"/>
          <w:sz w:val="21"/>
          <w:szCs w:val="21"/>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3.思想政治·限选四史类必修课2学分：党史、新中国史、改革开放史、社会主义发展史。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ascii="仿宋_GB2312" w:hAnsi="仿宋_GB2312" w:eastAsia="仿宋_GB2312" w:cs="仿宋_GB2312"/>
          <w:b/>
          <w:bCs/>
          <w:sz w:val="24"/>
          <w:szCs w:val="24"/>
          <w:highlight w:val="none"/>
        </w:rPr>
        <w:br w:type="page"/>
      </w:r>
    </w:p>
    <w:p>
      <w:pPr>
        <w:pStyle w:val="3"/>
        <w:pageBreakBefore w:val="0"/>
        <w:numPr>
          <w:ilvl w:val="0"/>
          <w:numId w:val="1"/>
        </w:numPr>
        <w:kinsoku/>
        <w:wordWrap/>
        <w:overflowPunct/>
        <w:topLinePunct w:val="0"/>
        <w:autoSpaceDE/>
        <w:autoSpaceDN/>
        <w:bidi w:val="0"/>
        <w:adjustRightInd/>
        <w:snapToGrid/>
        <w:spacing w:before="0" w:after="0" w:line="500" w:lineRule="exact"/>
        <w:ind w:left="0" w:leftChars="0" w:firstLine="480" w:firstLineChars="200"/>
        <w:textAlignment w:val="auto"/>
        <w:rPr>
          <w:rFonts w:ascii="黑体" w:hAnsi="黑体" w:eastAsia="黑体"/>
          <w:b w:val="0"/>
          <w:bCs w:val="0"/>
          <w:sz w:val="24"/>
          <w:szCs w:val="24"/>
          <w:highlight w:val="none"/>
        </w:rPr>
      </w:pPr>
      <w:r>
        <w:rPr>
          <w:rFonts w:hint="eastAsia" w:ascii="黑体" w:hAnsi="黑体" w:eastAsia="黑体"/>
          <w:b w:val="0"/>
          <w:bCs w:val="0"/>
          <w:sz w:val="24"/>
          <w:szCs w:val="24"/>
          <w:highlight w:val="none"/>
        </w:rPr>
        <w:t>实施保障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教材选用</w:t>
      </w:r>
    </w:p>
    <w:p>
      <w:pPr>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为保证教学质量，根据本专业的教学开课计划，优先选用“面向21世纪课程教材”、国家级规划教材、国家教学指导委员会推荐教材、近3年出版的新教材、自编教材等。</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会计学院现有教职工155人，其中中层干部4人，专任教师128人，辅导员19人，行政教辅6人。专任教师中教授18人、副教授21人，高级职称教师占专任教师的30.47%；讲师及其他中级教师56人，中级职称教师占专任教师43.75%；专任教师中具有博士学位的教师有11人，硕士学位教师有110人，硕士以上学位教师占78.1%。另聘有讲席教授1人、战略发展顾问1人，高层次柔性引进人才2人，学术型客座教授13人、实践型客座教授9人，签约实践导师33人，双师型教师73人，双师型教师占57.03%，形成了年龄结构、专业结构、学历结构和职称结构合理，校内教师与外聘实践导师融合，综合实力雄厚的师资队伍。</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会计学于2017年被确立为广东省唯一特色重点学科，并于2020年入选国家一流本科专业建设点，现拥有重点研究团队4个，国内一流的经管实验教学中心一个，应用型协同育人平台1个，校外实习基地28个，另聘有实践导师33位；通过开设第二课堂、实训课程、实践讲座，社会实践、校内仿真综合实习、校外实习等，努力培养学生实践能力；通过改革教学模式、实行实践导师制，鼓励学生积极参加各种专业技能竞赛等手段，全面提升学生专业技能和综合素质。 </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教学及实验实训条件</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华商学院已建成高标准、高水平、独具特色的多媒体教室、经管学科跨专业综合仿真实习、华商云会计产业学院、云计算、云桌面平台，以及大传播实验教学平台等。其中，跨专业综合仿真平台被广东省教育厅纳入省质量工程实验教学示范中心立项建设项目。</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1.校内实训基地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（1）跨专业仿真实习平台，共建有24间实习专用实验室、1间实习成果展览室和1间实习指挥部会议室，总面积3422平方米、电脑设备722台、资产总值 146.40万元，能够容纳近1000名学生同时进行实习，每学期可以进行3-4轮实习。通过将8个专业不同班级的学生按照一定的专业配比进行分组，组建跨专业的实习小组，组成经营团队，模拟企业运营的方式开展实习活动，以提升学生综合实践能力为导向，设计实习活动和考核方法，培养学生的专业技能、思维能力、管理能力、人际能力和职业素养五个方面的能力素质</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（2）华商云会计产业学院，拥有一个大型综合实验室和四个工作室组成，实验室承担财务共享服务和会计信息系统两门课的实验教学任务</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四个工作室承担华商云会计产业学院的工作任务。实验室和工作室的建设总投资约 1250万元</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不含房屋建筑物</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，总面积约 1080m²，可容纳会计学、财务管理和审计学专业的学生共同使用。其优势表现现在</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①全真的会计实操体验。借助合作单位 5000 余家小企业的一手资料，让学生对企业的会计记账和纳税实务有切身感受。②国内领先的场馆设施，选用国内最先进的设备设施，让学生直接接触最接近实际的工作场景。③完备的实验实践体系。实践体系涵盖多种可能的工作体验，包括大型公司的财务共享服务中心，中型企业的会计信息化，以及小企业的代理记账。</w:t>
      </w:r>
    </w:p>
    <w:p>
      <w:pPr>
        <w:pStyle w:val="2"/>
        <w:pageBreakBefore w:val="0"/>
        <w:kinsoku/>
        <w:wordWrap/>
        <w:overflowPunct/>
        <w:topLinePunct w:val="0"/>
        <w:autoSpaceDE/>
        <w:autoSpaceDN/>
        <w:bidi w:val="0"/>
        <w:adjustRightInd/>
        <w:snapToGrid/>
        <w:spacing w:line="500" w:lineRule="exact"/>
        <w:ind w:firstLine="482" w:firstLineChars="200"/>
        <w:textAlignment w:val="auto"/>
        <w:rPr>
          <w:rFonts w:hint="eastAsia" w:ascii="仿宋_GB2312" w:hAnsi="仿宋_GB2312" w:eastAsia="仿宋_GB2312" w:cs="仿宋_GB2312"/>
          <w:b/>
          <w:bCs/>
          <w:color w:val="000000"/>
          <w:kern w:val="0"/>
          <w:sz w:val="24"/>
          <w:szCs w:val="24"/>
          <w:highlight w:val="none"/>
          <w:u w:val="none"/>
          <w:lang w:bidi="ar"/>
        </w:rPr>
      </w:pPr>
      <w:r>
        <w:rPr>
          <w:rFonts w:hint="eastAsia" w:ascii="仿宋_GB2312" w:hAnsi="仿宋_GB2312" w:eastAsia="仿宋_GB2312" w:cs="仿宋_GB2312"/>
          <w:b/>
          <w:bCs/>
          <w:color w:val="000000"/>
          <w:kern w:val="0"/>
          <w:sz w:val="24"/>
          <w:szCs w:val="24"/>
          <w:highlight w:val="none"/>
          <w:u w:val="none"/>
          <w:lang w:bidi="ar"/>
        </w:rPr>
        <w:t>2.校外实习基地</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kern w:val="2"/>
          <w:sz w:val="24"/>
          <w:szCs w:val="24"/>
          <w:highlight w:val="none"/>
          <w:u w:val="none"/>
        </w:rPr>
      </w:pPr>
      <w:r>
        <w:rPr>
          <w:rFonts w:hint="eastAsia" w:ascii="仿宋_GB2312" w:hAnsi="仿宋_GB2312" w:eastAsia="仿宋_GB2312" w:cs="仿宋_GB2312"/>
          <w:color w:val="000000"/>
          <w:kern w:val="0"/>
          <w:sz w:val="24"/>
          <w:szCs w:val="24"/>
          <w:highlight w:val="none"/>
          <w:u w:val="none"/>
          <w:lang w:bidi="ar"/>
        </w:rPr>
        <w:t>截止到2022年底，会计学院已经与超过150家企业单位签订了实习基地协议，目前本专业拥有一批比较稳定的校外实训基地，包括会计师事务所、财务服务公司和工商企业等。实习基地能够提供开展财务管理专业相关实训活动，实训设施齐备，实训岗位、实训指导教师确定，实训管理及实施规章制度齐全。能提供会计核算、会计监督等相关实习岗位；能涵盖当前财务管理专业的主流实务，可接纳一定规模的学生实习；能够配备相应数量的指导教师对学生实习进行指导和管理；有保证实习生日常工作、学习、生活的规章制度，有安全、保险保障。</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现有教学资源（含数字化资源）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华商学院图书馆总馆藏量达258万册，其中中文图书251.1321万册、外文图书4.5801万册、期刊合订本2.2878万册。学校图书馆订有期刊、报纸830种，其中期刊 759种 （含外文期刊24种）；报纸71种（含外文报纸3种）。 购买超星数字图书馆电子图书31万种，清华同方中国知网七个专辑和中国财经教育资源共享平台。清华同方中国知网 (CNKI</w:t>
      </w:r>
      <w:r>
        <w:rPr>
          <w:rFonts w:hint="eastAsia" w:ascii="仿宋_GB2312" w:hAnsi="仿宋_GB2312" w:eastAsia="仿宋_GB2312" w:cs="仿宋_GB2312"/>
          <w:color w:val="000000"/>
          <w:kern w:val="0"/>
          <w:sz w:val="24"/>
          <w:szCs w:val="24"/>
          <w:highlight w:val="none"/>
          <w:u w:val="none"/>
          <w:lang w:eastAsia="zh-CN" w:bidi="ar"/>
        </w:rPr>
        <w:t>）</w:t>
      </w:r>
      <w:r>
        <w:rPr>
          <w:rFonts w:hint="eastAsia" w:ascii="仿宋_GB2312" w:hAnsi="仿宋_GB2312" w:eastAsia="仿宋_GB2312" w:cs="仿宋_GB2312"/>
          <w:color w:val="000000"/>
          <w:kern w:val="0"/>
          <w:sz w:val="24"/>
          <w:szCs w:val="24"/>
          <w:highlight w:val="none"/>
          <w:u w:val="none"/>
          <w:lang w:bidi="ar"/>
        </w:rPr>
        <w:t>七个专辑其中包含中国学术期刊论文、重要会议论文、博、硕士论文、重要报纸全文等约5700多万篇，基本上涵盖了我校包括会计学在内的各个专业的文献资料。同时，会计学院也藏有 80 余种专业图书和教材。</w:t>
      </w:r>
    </w:p>
    <w:p>
      <w:pPr>
        <w:pageBreakBefore w:val="0"/>
        <w:widowControl/>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kern w:val="0"/>
          <w:sz w:val="24"/>
          <w:szCs w:val="24"/>
          <w:highlight w:val="none"/>
          <w:u w:val="none"/>
          <w:lang w:bidi="ar"/>
        </w:rPr>
      </w:pPr>
      <w:r>
        <w:rPr>
          <w:rFonts w:hint="eastAsia" w:ascii="仿宋_GB2312" w:hAnsi="仿宋_GB2312" w:eastAsia="仿宋_GB2312" w:cs="仿宋_GB2312"/>
          <w:color w:val="000000"/>
          <w:kern w:val="0"/>
          <w:sz w:val="24"/>
          <w:szCs w:val="24"/>
          <w:highlight w:val="none"/>
          <w:u w:val="none"/>
          <w:lang w:bidi="ar"/>
        </w:rPr>
        <w:t>会计学专业教学模式多样化。其中采用“互联网+”混合式教学模式的课程有6门，其中省级一流课程（线上线下）1门。建成在线开放课程5门，其中校级精品课程1门，校级重点课程5门。出版系列教材14本，建成由文字教材、电子教材、网络课件、试题库、系列参考书和辅助教材等构成的立体化教材体系。</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质量管理</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建立从上到下的多层次教学指导机制，借助教育部教学指导委员会平台，必要时邀请该委员会成员进行远程或现场指导。成立“本专业建设指导委员会”，不断对教学模式、教材、教师、教学管理等各环节审核，并提出指导意见，从发展的高度提供社会监督功能。利用学校的教学指导委员会，对本专业进行不定期或定期指导。建立由同行专家、行业专家组成的顾问组，具体指导专业的各项建设工作。</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通过月评机制，将“学校、院（系）、专业负责人、学生、家长”等多个方面的监督结果汇集，并根据结果，对专业运行进行具体调整，形成多方监控的效果。</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建立评价分析小组，将“学校、院（系）、专业负责人、学生、企业”的评价阶段性地整理，得到比较系统的信息，系统地总结得失，系统地制订调整方案。</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系统地建立常规的稳定的联系管道，通过网络信息、信函、走访、会议、接待电话等方式，将“用人单位、教师、家长、学生、社会”等方面的回馈信息系统汇集整理。突出持续性、全程性监控特点，实现教学质量管理的经常化、规范。</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一般性的教学管理制度：</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①实训管理制度。立足学校学生实训实习、行业企业培训，在保证校内、外实训基地充分发挥其教学的功能的前提下，从多个角度制订校内生产性实训基地的签约、运作、管理等一系列规定，例如：关于校内实训基地基本使用规定、教学管理规定、指导教师管理规定；校外实训基地合同管理、指导教师管理、教师实习基地挂职管理规定、实习管理规定等。</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②师资管理制度。针对专业负责人、骨干教师、专任教师、兼职教师、导师等，实施关于专业负责人、教师分级考核和管理、骨干教师管理办法、兼职教师管理等各种管理规定。</w:t>
      </w:r>
    </w:p>
    <w:p>
      <w:pPr>
        <w:pStyle w:val="2"/>
        <w:pageBreakBefore w:val="0"/>
        <w:kinsoku/>
        <w:wordWrap/>
        <w:overflowPunct/>
        <w:topLinePunct w:val="0"/>
        <w:autoSpaceDE/>
        <w:autoSpaceDN/>
        <w:bidi w:val="0"/>
        <w:adjustRightInd/>
        <w:snapToGrid/>
        <w:spacing w:line="500" w:lineRule="exact"/>
        <w:ind w:firstLine="480" w:firstLineChars="200"/>
        <w:textAlignment w:val="auto"/>
        <w:rPr>
          <w:rFonts w:hint="eastAsia" w:ascii="仿宋_GB2312" w:hAnsi="仿宋_GB2312" w:eastAsia="仿宋_GB2312" w:cs="仿宋_GB2312"/>
          <w:color w:val="000000"/>
          <w:sz w:val="24"/>
          <w:szCs w:val="24"/>
          <w:highlight w:val="none"/>
          <w:u w:val="none"/>
          <w:lang w:bidi="ar"/>
        </w:rPr>
      </w:pPr>
      <w:r>
        <w:rPr>
          <w:rFonts w:hint="eastAsia" w:ascii="仿宋_GB2312" w:hAnsi="仿宋_GB2312" w:eastAsia="仿宋_GB2312" w:cs="仿宋_GB2312"/>
          <w:color w:val="000000"/>
          <w:sz w:val="24"/>
          <w:szCs w:val="24"/>
          <w:highlight w:val="none"/>
          <w:u w:val="none"/>
          <w:lang w:bidi="ar"/>
        </w:rPr>
        <w:t>③考核评估办法。通过多种途径，建立校内外一体化的教学评价体系，对教学质量进行全面系统的监控。</w:t>
      </w:r>
    </w:p>
    <w:p>
      <w:pPr>
        <w:pStyle w:val="3"/>
        <w:pageBreakBefore w:val="0"/>
        <w:numPr>
          <w:ilvl w:val="0"/>
          <w:numId w:val="4"/>
        </w:numPr>
        <w:kinsoku/>
        <w:wordWrap/>
        <w:overflowPunct/>
        <w:topLinePunct w:val="0"/>
        <w:autoSpaceDE/>
        <w:autoSpaceDN/>
        <w:bidi w:val="0"/>
        <w:adjustRightInd/>
        <w:snapToGrid/>
        <w:spacing w:before="0" w:after="0" w:line="500" w:lineRule="exact"/>
        <w:ind w:left="0" w:leftChars="0" w:firstLine="420" w:firstLineChars="0"/>
        <w:textAlignment w:val="auto"/>
        <w:rPr>
          <w:rFonts w:hint="eastAsia" w:ascii="楷体_GB2312" w:hAnsi="楷体_GB2312" w:eastAsia="楷体_GB2312" w:cs="楷体_GB2312"/>
          <w:sz w:val="24"/>
          <w:szCs w:val="24"/>
          <w:highlight w:val="none"/>
        </w:rPr>
      </w:pPr>
      <w:r>
        <w:rPr>
          <w:rFonts w:hint="eastAsia" w:ascii="楷体_GB2312" w:hAnsi="楷体_GB2312" w:eastAsia="楷体_GB2312" w:cs="楷体_GB2312"/>
          <w:sz w:val="24"/>
          <w:szCs w:val="24"/>
          <w:highlight w:val="none"/>
        </w:rPr>
        <w:t>经费保障</w:t>
      </w:r>
    </w:p>
    <w:p>
      <w:pPr>
        <w:pStyle w:val="2"/>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eastAsia="宋体"/>
          <w:sz w:val="24"/>
          <w:szCs w:val="24"/>
          <w:highlight w:val="none"/>
          <w:lang w:eastAsia="zh-CN"/>
        </w:rPr>
      </w:pPr>
      <w:r>
        <w:rPr>
          <w:rFonts w:hint="eastAsia" w:ascii="仿宋_GB2312" w:hAnsi="仿宋_GB2312" w:eastAsia="仿宋_GB2312" w:cs="仿宋_GB2312"/>
          <w:kern w:val="2"/>
          <w:sz w:val="24"/>
          <w:szCs w:val="24"/>
          <w:highlight w:val="none"/>
        </w:rPr>
        <w:t>学校成人高等学历教育有独立的账户，学费收入主要用于课酬、设备、场地等经费的支出，教学实施经费有保障。</w:t>
      </w:r>
    </w:p>
    <w:sectPr>
      <w:footerReference r:id="rId4" w:type="first"/>
      <w:footerReference r:id="rId3" w:type="default"/>
      <w:pgSz w:w="11906" w:h="16838"/>
      <w:pgMar w:top="1134" w:right="1134" w:bottom="1134" w:left="1134"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6</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fldChar w:fldCharType="begin"/>
    </w:r>
    <w:r>
      <w:instrText xml:space="preserve">PAGE   \* MERGEFORMAT</w:instrText>
    </w:r>
    <w:r>
      <w:fldChar w:fldCharType="separate"/>
    </w:r>
    <w:r>
      <w:rPr>
        <w:lang w:val="zh-CN"/>
      </w:rPr>
      <w:t>1</w:t>
    </w:r>
    <w:r>
      <w:rPr>
        <w:lang w:val="zh-CN"/>
      </w:rP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0C115A"/>
    <w:multiLevelType w:val="singleLevel"/>
    <w:tmpl w:val="2E0C115A"/>
    <w:lvl w:ilvl="0" w:tentative="0">
      <w:start w:val="1"/>
      <w:numFmt w:val="chineseCounting"/>
      <w:suff w:val="nothing"/>
      <w:lvlText w:val="%1、"/>
      <w:lvlJc w:val="left"/>
      <w:pPr>
        <w:ind w:left="0" w:firstLine="420"/>
      </w:pPr>
      <w:rPr>
        <w:rFonts w:hint="eastAsia"/>
      </w:rPr>
    </w:lvl>
  </w:abstractNum>
  <w:abstractNum w:abstractNumId="1">
    <w:nsid w:val="3A581FAF"/>
    <w:multiLevelType w:val="singleLevel"/>
    <w:tmpl w:val="3A581FAF"/>
    <w:lvl w:ilvl="0" w:tentative="0">
      <w:start w:val="1"/>
      <w:numFmt w:val="chineseCounting"/>
      <w:suff w:val="nothing"/>
      <w:lvlText w:val="（%1）"/>
      <w:lvlJc w:val="left"/>
      <w:pPr>
        <w:ind w:left="0" w:firstLine="420"/>
      </w:pPr>
      <w:rPr>
        <w:rFonts w:hint="eastAsia"/>
      </w:rPr>
    </w:lvl>
  </w:abstractNum>
  <w:abstractNum w:abstractNumId="2">
    <w:nsid w:val="63BDB427"/>
    <w:multiLevelType w:val="singleLevel"/>
    <w:tmpl w:val="63BDB427"/>
    <w:lvl w:ilvl="0" w:tentative="0">
      <w:start w:val="1"/>
      <w:numFmt w:val="chineseCounting"/>
      <w:suff w:val="nothing"/>
      <w:lvlText w:val="（%1）"/>
      <w:lvlJc w:val="left"/>
      <w:pPr>
        <w:ind w:left="0" w:firstLine="420"/>
      </w:pPr>
      <w:rPr>
        <w:rFonts w:hint="eastAsia"/>
      </w:rPr>
    </w:lvl>
  </w:abstractNum>
  <w:abstractNum w:abstractNumId="3">
    <w:nsid w:val="66735EC8"/>
    <w:multiLevelType w:val="singleLevel"/>
    <w:tmpl w:val="66735EC8"/>
    <w:lvl w:ilvl="0" w:tentative="0">
      <w:start w:val="1"/>
      <w:numFmt w:val="chineseCounting"/>
      <w:suff w:val="nothing"/>
      <w:lvlText w:val="（%1）"/>
      <w:lvlJc w:val="left"/>
      <w:pPr>
        <w:ind w:left="0" w:firstLine="420"/>
      </w:pPr>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NotTrackMoves/>
  <w:documentProtection w:enforcement="0"/>
  <w:defaultTabStop w:val="420"/>
  <w:doNotHyphenateCaps/>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jYmY5YmU4YTE1MDczMGExMTUzOGExNGQwMTJhOTQifQ=="/>
  </w:docVars>
  <w:rsids>
    <w:rsidRoot w:val="006F3986"/>
    <w:rsid w:val="00010FFA"/>
    <w:rsid w:val="00034335"/>
    <w:rsid w:val="000468A4"/>
    <w:rsid w:val="000654C5"/>
    <w:rsid w:val="00066A47"/>
    <w:rsid w:val="00070910"/>
    <w:rsid w:val="000800E7"/>
    <w:rsid w:val="00093DF0"/>
    <w:rsid w:val="00094885"/>
    <w:rsid w:val="000A162B"/>
    <w:rsid w:val="000A5B9F"/>
    <w:rsid w:val="000B2063"/>
    <w:rsid w:val="000B4693"/>
    <w:rsid w:val="000C1901"/>
    <w:rsid w:val="000C4BC2"/>
    <w:rsid w:val="000D1D72"/>
    <w:rsid w:val="000E0CB0"/>
    <w:rsid w:val="000E7C8F"/>
    <w:rsid w:val="000F210F"/>
    <w:rsid w:val="00102E86"/>
    <w:rsid w:val="0010600D"/>
    <w:rsid w:val="001124FA"/>
    <w:rsid w:val="00114AC1"/>
    <w:rsid w:val="00122AD9"/>
    <w:rsid w:val="00123D86"/>
    <w:rsid w:val="001321CD"/>
    <w:rsid w:val="00132255"/>
    <w:rsid w:val="00133C94"/>
    <w:rsid w:val="00134DC5"/>
    <w:rsid w:val="00135026"/>
    <w:rsid w:val="00135E8F"/>
    <w:rsid w:val="00142ADD"/>
    <w:rsid w:val="00143FB4"/>
    <w:rsid w:val="00152019"/>
    <w:rsid w:val="00160C42"/>
    <w:rsid w:val="00164677"/>
    <w:rsid w:val="00172FF9"/>
    <w:rsid w:val="00181B92"/>
    <w:rsid w:val="00185620"/>
    <w:rsid w:val="0019170F"/>
    <w:rsid w:val="00193A76"/>
    <w:rsid w:val="001A6B8A"/>
    <w:rsid w:val="001A6DC8"/>
    <w:rsid w:val="001B42FA"/>
    <w:rsid w:val="001D70B0"/>
    <w:rsid w:val="001E0E97"/>
    <w:rsid w:val="001E43B8"/>
    <w:rsid w:val="00205ED8"/>
    <w:rsid w:val="002068C8"/>
    <w:rsid w:val="002237AF"/>
    <w:rsid w:val="002267D5"/>
    <w:rsid w:val="0022767D"/>
    <w:rsid w:val="002330CD"/>
    <w:rsid w:val="00234F52"/>
    <w:rsid w:val="00243BF5"/>
    <w:rsid w:val="00245632"/>
    <w:rsid w:val="00267071"/>
    <w:rsid w:val="002825FD"/>
    <w:rsid w:val="00286C19"/>
    <w:rsid w:val="00296FBA"/>
    <w:rsid w:val="002A54E3"/>
    <w:rsid w:val="002A6384"/>
    <w:rsid w:val="002B0588"/>
    <w:rsid w:val="002B1F37"/>
    <w:rsid w:val="002B680C"/>
    <w:rsid w:val="002C2C14"/>
    <w:rsid w:val="002C3C29"/>
    <w:rsid w:val="002C5001"/>
    <w:rsid w:val="002D1616"/>
    <w:rsid w:val="002D626C"/>
    <w:rsid w:val="002D6606"/>
    <w:rsid w:val="002E4C7C"/>
    <w:rsid w:val="002F2318"/>
    <w:rsid w:val="0030793A"/>
    <w:rsid w:val="00307D7D"/>
    <w:rsid w:val="00310254"/>
    <w:rsid w:val="00310966"/>
    <w:rsid w:val="00311262"/>
    <w:rsid w:val="00314E72"/>
    <w:rsid w:val="00320333"/>
    <w:rsid w:val="003233B7"/>
    <w:rsid w:val="00325706"/>
    <w:rsid w:val="00333985"/>
    <w:rsid w:val="00334046"/>
    <w:rsid w:val="00335F76"/>
    <w:rsid w:val="0033732A"/>
    <w:rsid w:val="00337E74"/>
    <w:rsid w:val="0034080C"/>
    <w:rsid w:val="0034313F"/>
    <w:rsid w:val="00350F27"/>
    <w:rsid w:val="00351658"/>
    <w:rsid w:val="00363053"/>
    <w:rsid w:val="003662D1"/>
    <w:rsid w:val="00367A2E"/>
    <w:rsid w:val="00387B5B"/>
    <w:rsid w:val="00397937"/>
    <w:rsid w:val="003A1349"/>
    <w:rsid w:val="003A667A"/>
    <w:rsid w:val="003C26A6"/>
    <w:rsid w:val="003D3653"/>
    <w:rsid w:val="003D4847"/>
    <w:rsid w:val="003D4B0D"/>
    <w:rsid w:val="003D4C97"/>
    <w:rsid w:val="003D508C"/>
    <w:rsid w:val="003E25E5"/>
    <w:rsid w:val="003E2F71"/>
    <w:rsid w:val="003E5E31"/>
    <w:rsid w:val="003E6F42"/>
    <w:rsid w:val="003F0B06"/>
    <w:rsid w:val="0042035E"/>
    <w:rsid w:val="00426980"/>
    <w:rsid w:val="00431688"/>
    <w:rsid w:val="00433C51"/>
    <w:rsid w:val="00447E2A"/>
    <w:rsid w:val="00451AFD"/>
    <w:rsid w:val="0045504E"/>
    <w:rsid w:val="00464262"/>
    <w:rsid w:val="00473A1E"/>
    <w:rsid w:val="0047614D"/>
    <w:rsid w:val="004871CD"/>
    <w:rsid w:val="00487F77"/>
    <w:rsid w:val="00493626"/>
    <w:rsid w:val="00495BE9"/>
    <w:rsid w:val="004A677A"/>
    <w:rsid w:val="004B1A5C"/>
    <w:rsid w:val="004B3C2A"/>
    <w:rsid w:val="004B7E22"/>
    <w:rsid w:val="004C3B82"/>
    <w:rsid w:val="004C5E82"/>
    <w:rsid w:val="004D05F2"/>
    <w:rsid w:val="004D7FE4"/>
    <w:rsid w:val="004E6E26"/>
    <w:rsid w:val="0050453D"/>
    <w:rsid w:val="00525A38"/>
    <w:rsid w:val="00535B93"/>
    <w:rsid w:val="00544041"/>
    <w:rsid w:val="00557F36"/>
    <w:rsid w:val="00563B06"/>
    <w:rsid w:val="0056479B"/>
    <w:rsid w:val="005710B0"/>
    <w:rsid w:val="005738C4"/>
    <w:rsid w:val="005838BD"/>
    <w:rsid w:val="005859C6"/>
    <w:rsid w:val="005914D7"/>
    <w:rsid w:val="00593E2E"/>
    <w:rsid w:val="005C006E"/>
    <w:rsid w:val="005D63BA"/>
    <w:rsid w:val="005F0371"/>
    <w:rsid w:val="005F54D3"/>
    <w:rsid w:val="006114F3"/>
    <w:rsid w:val="00617445"/>
    <w:rsid w:val="006243D2"/>
    <w:rsid w:val="006264F4"/>
    <w:rsid w:val="0063015C"/>
    <w:rsid w:val="006324F8"/>
    <w:rsid w:val="00633F74"/>
    <w:rsid w:val="00656530"/>
    <w:rsid w:val="00661765"/>
    <w:rsid w:val="006631F3"/>
    <w:rsid w:val="00671530"/>
    <w:rsid w:val="00672832"/>
    <w:rsid w:val="00681F47"/>
    <w:rsid w:val="00694D0D"/>
    <w:rsid w:val="006A1739"/>
    <w:rsid w:val="006B48B1"/>
    <w:rsid w:val="006C3072"/>
    <w:rsid w:val="006C6A67"/>
    <w:rsid w:val="006D3362"/>
    <w:rsid w:val="006D4395"/>
    <w:rsid w:val="006D7895"/>
    <w:rsid w:val="006F0C0E"/>
    <w:rsid w:val="006F3986"/>
    <w:rsid w:val="007003FF"/>
    <w:rsid w:val="00705DA8"/>
    <w:rsid w:val="0070781A"/>
    <w:rsid w:val="007079DE"/>
    <w:rsid w:val="007138B7"/>
    <w:rsid w:val="00714DFA"/>
    <w:rsid w:val="00715D23"/>
    <w:rsid w:val="007226E3"/>
    <w:rsid w:val="00724D99"/>
    <w:rsid w:val="00731573"/>
    <w:rsid w:val="00737A8E"/>
    <w:rsid w:val="00741F44"/>
    <w:rsid w:val="00747B7D"/>
    <w:rsid w:val="00747CDA"/>
    <w:rsid w:val="0075180B"/>
    <w:rsid w:val="0075186B"/>
    <w:rsid w:val="0075464C"/>
    <w:rsid w:val="0076171E"/>
    <w:rsid w:val="0077054F"/>
    <w:rsid w:val="00774D19"/>
    <w:rsid w:val="00780091"/>
    <w:rsid w:val="00780EF2"/>
    <w:rsid w:val="0078288C"/>
    <w:rsid w:val="007A1F7E"/>
    <w:rsid w:val="007A56A2"/>
    <w:rsid w:val="007C1878"/>
    <w:rsid w:val="007C7B55"/>
    <w:rsid w:val="007D07F5"/>
    <w:rsid w:val="007D7D89"/>
    <w:rsid w:val="007E16A5"/>
    <w:rsid w:val="007E252F"/>
    <w:rsid w:val="007E2947"/>
    <w:rsid w:val="007E52F8"/>
    <w:rsid w:val="007F2D18"/>
    <w:rsid w:val="007F4A87"/>
    <w:rsid w:val="00800444"/>
    <w:rsid w:val="00800F71"/>
    <w:rsid w:val="00814FCB"/>
    <w:rsid w:val="0081557B"/>
    <w:rsid w:val="00827066"/>
    <w:rsid w:val="00836467"/>
    <w:rsid w:val="0083731C"/>
    <w:rsid w:val="00840C72"/>
    <w:rsid w:val="00844EB6"/>
    <w:rsid w:val="008515F1"/>
    <w:rsid w:val="00854102"/>
    <w:rsid w:val="00855E8A"/>
    <w:rsid w:val="00856A88"/>
    <w:rsid w:val="00874A56"/>
    <w:rsid w:val="008754BA"/>
    <w:rsid w:val="00875852"/>
    <w:rsid w:val="00885B3E"/>
    <w:rsid w:val="00896668"/>
    <w:rsid w:val="008A5592"/>
    <w:rsid w:val="008A5DF1"/>
    <w:rsid w:val="008A5EDD"/>
    <w:rsid w:val="008C13A0"/>
    <w:rsid w:val="008D552A"/>
    <w:rsid w:val="008E04F2"/>
    <w:rsid w:val="008F0570"/>
    <w:rsid w:val="008F1311"/>
    <w:rsid w:val="008F36DE"/>
    <w:rsid w:val="00900713"/>
    <w:rsid w:val="00904DBC"/>
    <w:rsid w:val="009062BE"/>
    <w:rsid w:val="00907719"/>
    <w:rsid w:val="00907FAD"/>
    <w:rsid w:val="00911588"/>
    <w:rsid w:val="00920110"/>
    <w:rsid w:val="00926266"/>
    <w:rsid w:val="00935BE1"/>
    <w:rsid w:val="0094036F"/>
    <w:rsid w:val="00941EC7"/>
    <w:rsid w:val="00945C98"/>
    <w:rsid w:val="00950F7D"/>
    <w:rsid w:val="009574D8"/>
    <w:rsid w:val="00976E05"/>
    <w:rsid w:val="00976E93"/>
    <w:rsid w:val="00980420"/>
    <w:rsid w:val="009810BF"/>
    <w:rsid w:val="00982F03"/>
    <w:rsid w:val="0099452D"/>
    <w:rsid w:val="00994EFE"/>
    <w:rsid w:val="00994F84"/>
    <w:rsid w:val="009A5FA4"/>
    <w:rsid w:val="009C136D"/>
    <w:rsid w:val="009D1D7D"/>
    <w:rsid w:val="009D494C"/>
    <w:rsid w:val="009E102B"/>
    <w:rsid w:val="009E1451"/>
    <w:rsid w:val="009E35B1"/>
    <w:rsid w:val="009E3AFA"/>
    <w:rsid w:val="009E6C20"/>
    <w:rsid w:val="009F07DC"/>
    <w:rsid w:val="009F1389"/>
    <w:rsid w:val="009F27BA"/>
    <w:rsid w:val="00A03C8A"/>
    <w:rsid w:val="00A05426"/>
    <w:rsid w:val="00A05B83"/>
    <w:rsid w:val="00A15B4D"/>
    <w:rsid w:val="00A174B0"/>
    <w:rsid w:val="00A20F35"/>
    <w:rsid w:val="00A219A5"/>
    <w:rsid w:val="00A311D8"/>
    <w:rsid w:val="00A347AB"/>
    <w:rsid w:val="00A35AC8"/>
    <w:rsid w:val="00A367B2"/>
    <w:rsid w:val="00A40C82"/>
    <w:rsid w:val="00A46B0D"/>
    <w:rsid w:val="00A564C8"/>
    <w:rsid w:val="00A65F48"/>
    <w:rsid w:val="00A902AF"/>
    <w:rsid w:val="00A93B8C"/>
    <w:rsid w:val="00AA1350"/>
    <w:rsid w:val="00AB395C"/>
    <w:rsid w:val="00AC28AC"/>
    <w:rsid w:val="00AD3488"/>
    <w:rsid w:val="00AD7C02"/>
    <w:rsid w:val="00AE3159"/>
    <w:rsid w:val="00AF04C0"/>
    <w:rsid w:val="00B07842"/>
    <w:rsid w:val="00B11F9D"/>
    <w:rsid w:val="00B15068"/>
    <w:rsid w:val="00B20403"/>
    <w:rsid w:val="00B207CF"/>
    <w:rsid w:val="00B34CEF"/>
    <w:rsid w:val="00B454AC"/>
    <w:rsid w:val="00B5466F"/>
    <w:rsid w:val="00B913BF"/>
    <w:rsid w:val="00B95CDC"/>
    <w:rsid w:val="00B96051"/>
    <w:rsid w:val="00BA244F"/>
    <w:rsid w:val="00BA28EC"/>
    <w:rsid w:val="00BB07F8"/>
    <w:rsid w:val="00BB3D75"/>
    <w:rsid w:val="00BB4116"/>
    <w:rsid w:val="00BB5FCB"/>
    <w:rsid w:val="00BC4F94"/>
    <w:rsid w:val="00BD6BCA"/>
    <w:rsid w:val="00BE404D"/>
    <w:rsid w:val="00BE426B"/>
    <w:rsid w:val="00BE545E"/>
    <w:rsid w:val="00BF4C3F"/>
    <w:rsid w:val="00C0159F"/>
    <w:rsid w:val="00C21C27"/>
    <w:rsid w:val="00C41387"/>
    <w:rsid w:val="00C47C4C"/>
    <w:rsid w:val="00C6753C"/>
    <w:rsid w:val="00C921C5"/>
    <w:rsid w:val="00C96F6E"/>
    <w:rsid w:val="00CA0FE0"/>
    <w:rsid w:val="00CB0C27"/>
    <w:rsid w:val="00CB295F"/>
    <w:rsid w:val="00CB59F7"/>
    <w:rsid w:val="00CB5D91"/>
    <w:rsid w:val="00CB673C"/>
    <w:rsid w:val="00CE7916"/>
    <w:rsid w:val="00D03849"/>
    <w:rsid w:val="00D03E88"/>
    <w:rsid w:val="00D11DF1"/>
    <w:rsid w:val="00D17A1F"/>
    <w:rsid w:val="00D20D39"/>
    <w:rsid w:val="00D32183"/>
    <w:rsid w:val="00D57E51"/>
    <w:rsid w:val="00D77CE5"/>
    <w:rsid w:val="00D84B14"/>
    <w:rsid w:val="00D873FD"/>
    <w:rsid w:val="00DA4E45"/>
    <w:rsid w:val="00DB2FDF"/>
    <w:rsid w:val="00DB355C"/>
    <w:rsid w:val="00DB6C8D"/>
    <w:rsid w:val="00DC2E9D"/>
    <w:rsid w:val="00DD747E"/>
    <w:rsid w:val="00DE0A68"/>
    <w:rsid w:val="00DE743E"/>
    <w:rsid w:val="00DE7748"/>
    <w:rsid w:val="00DF2DDD"/>
    <w:rsid w:val="00DF77CD"/>
    <w:rsid w:val="00E001E3"/>
    <w:rsid w:val="00E01768"/>
    <w:rsid w:val="00E11982"/>
    <w:rsid w:val="00E15DE6"/>
    <w:rsid w:val="00E21B5A"/>
    <w:rsid w:val="00E309A4"/>
    <w:rsid w:val="00E34AEB"/>
    <w:rsid w:val="00E40C41"/>
    <w:rsid w:val="00E418CE"/>
    <w:rsid w:val="00E4251D"/>
    <w:rsid w:val="00E52A7C"/>
    <w:rsid w:val="00E56456"/>
    <w:rsid w:val="00E6138D"/>
    <w:rsid w:val="00E65C3D"/>
    <w:rsid w:val="00E701DA"/>
    <w:rsid w:val="00E7744B"/>
    <w:rsid w:val="00E77AB7"/>
    <w:rsid w:val="00E87323"/>
    <w:rsid w:val="00E937E1"/>
    <w:rsid w:val="00EA3B71"/>
    <w:rsid w:val="00ED0B91"/>
    <w:rsid w:val="00ED7F94"/>
    <w:rsid w:val="00EE0E59"/>
    <w:rsid w:val="00EE4A48"/>
    <w:rsid w:val="00EF00BA"/>
    <w:rsid w:val="00EF3483"/>
    <w:rsid w:val="00EF45FC"/>
    <w:rsid w:val="00F111EB"/>
    <w:rsid w:val="00F21DAA"/>
    <w:rsid w:val="00F32F02"/>
    <w:rsid w:val="00F45103"/>
    <w:rsid w:val="00F45AF9"/>
    <w:rsid w:val="00F46B43"/>
    <w:rsid w:val="00F634C5"/>
    <w:rsid w:val="00F66673"/>
    <w:rsid w:val="00F7304B"/>
    <w:rsid w:val="00F8416C"/>
    <w:rsid w:val="00F8641C"/>
    <w:rsid w:val="00F86BE4"/>
    <w:rsid w:val="00F87E08"/>
    <w:rsid w:val="00F92BBE"/>
    <w:rsid w:val="00F93750"/>
    <w:rsid w:val="00FA0126"/>
    <w:rsid w:val="00FA0BD0"/>
    <w:rsid w:val="00FA2836"/>
    <w:rsid w:val="00FB0130"/>
    <w:rsid w:val="00FB28CC"/>
    <w:rsid w:val="00FB618C"/>
    <w:rsid w:val="00FB622D"/>
    <w:rsid w:val="00FC489C"/>
    <w:rsid w:val="00FC5B34"/>
    <w:rsid w:val="00FD1B2E"/>
    <w:rsid w:val="00FD54F1"/>
    <w:rsid w:val="00FD7C1B"/>
    <w:rsid w:val="00FE18F6"/>
    <w:rsid w:val="01B02B9A"/>
    <w:rsid w:val="048A5FBE"/>
    <w:rsid w:val="05752346"/>
    <w:rsid w:val="05C70E9C"/>
    <w:rsid w:val="06427BD1"/>
    <w:rsid w:val="067F2572"/>
    <w:rsid w:val="06DB6BF0"/>
    <w:rsid w:val="07267DC2"/>
    <w:rsid w:val="0AA001F6"/>
    <w:rsid w:val="0B5E4542"/>
    <w:rsid w:val="0C7F1E1A"/>
    <w:rsid w:val="0E002F65"/>
    <w:rsid w:val="125748B2"/>
    <w:rsid w:val="12F40DF6"/>
    <w:rsid w:val="13C30FA2"/>
    <w:rsid w:val="14D36FF3"/>
    <w:rsid w:val="15BE6708"/>
    <w:rsid w:val="166F638A"/>
    <w:rsid w:val="17CA4456"/>
    <w:rsid w:val="1AA46C4B"/>
    <w:rsid w:val="1AE819CA"/>
    <w:rsid w:val="1B2B0717"/>
    <w:rsid w:val="1BAA3992"/>
    <w:rsid w:val="1C5F20A6"/>
    <w:rsid w:val="1C872CDB"/>
    <w:rsid w:val="1DA5486C"/>
    <w:rsid w:val="1DC87438"/>
    <w:rsid w:val="1DE26A1E"/>
    <w:rsid w:val="1E3A60BE"/>
    <w:rsid w:val="1E750B93"/>
    <w:rsid w:val="1F5144E7"/>
    <w:rsid w:val="1F5A4CAD"/>
    <w:rsid w:val="1FE452DD"/>
    <w:rsid w:val="21840F34"/>
    <w:rsid w:val="224E070B"/>
    <w:rsid w:val="2250266F"/>
    <w:rsid w:val="24307DFE"/>
    <w:rsid w:val="250077BD"/>
    <w:rsid w:val="28636543"/>
    <w:rsid w:val="28FF3ABF"/>
    <w:rsid w:val="29D8289B"/>
    <w:rsid w:val="2AC703BF"/>
    <w:rsid w:val="2B8C3AC6"/>
    <w:rsid w:val="2CDE0A13"/>
    <w:rsid w:val="2DC67515"/>
    <w:rsid w:val="2EE03F92"/>
    <w:rsid w:val="314B3348"/>
    <w:rsid w:val="32263FB0"/>
    <w:rsid w:val="32BB489F"/>
    <w:rsid w:val="34055CE7"/>
    <w:rsid w:val="35134CB4"/>
    <w:rsid w:val="35472DDC"/>
    <w:rsid w:val="38010646"/>
    <w:rsid w:val="395B4C1C"/>
    <w:rsid w:val="3BAF6DBF"/>
    <w:rsid w:val="3CA4529B"/>
    <w:rsid w:val="3D210E60"/>
    <w:rsid w:val="3DC93903"/>
    <w:rsid w:val="3EE07196"/>
    <w:rsid w:val="3F997461"/>
    <w:rsid w:val="422763A9"/>
    <w:rsid w:val="42574095"/>
    <w:rsid w:val="42AB3499"/>
    <w:rsid w:val="42F61410"/>
    <w:rsid w:val="44AC0668"/>
    <w:rsid w:val="47173A6A"/>
    <w:rsid w:val="492A0371"/>
    <w:rsid w:val="49AF59E5"/>
    <w:rsid w:val="4AFD2D84"/>
    <w:rsid w:val="4D6F217E"/>
    <w:rsid w:val="4DE62D69"/>
    <w:rsid w:val="4F745A18"/>
    <w:rsid w:val="505A7024"/>
    <w:rsid w:val="52BF327E"/>
    <w:rsid w:val="54E5097A"/>
    <w:rsid w:val="587B13DD"/>
    <w:rsid w:val="58D1339D"/>
    <w:rsid w:val="5A40662A"/>
    <w:rsid w:val="5A9C28D7"/>
    <w:rsid w:val="5BE96376"/>
    <w:rsid w:val="5C4660D7"/>
    <w:rsid w:val="5DB72FE3"/>
    <w:rsid w:val="5E4F5B8A"/>
    <w:rsid w:val="5FCC712C"/>
    <w:rsid w:val="61862585"/>
    <w:rsid w:val="620C251D"/>
    <w:rsid w:val="62204ADE"/>
    <w:rsid w:val="624E0A85"/>
    <w:rsid w:val="6282308A"/>
    <w:rsid w:val="62B142AC"/>
    <w:rsid w:val="63CF422B"/>
    <w:rsid w:val="681D318E"/>
    <w:rsid w:val="68B61095"/>
    <w:rsid w:val="693E064A"/>
    <w:rsid w:val="69A36DCF"/>
    <w:rsid w:val="6A603DE3"/>
    <w:rsid w:val="6B1608B3"/>
    <w:rsid w:val="6BC1070E"/>
    <w:rsid w:val="6DE91219"/>
    <w:rsid w:val="72B15531"/>
    <w:rsid w:val="738706B4"/>
    <w:rsid w:val="74BD7DEE"/>
    <w:rsid w:val="77602DC9"/>
    <w:rsid w:val="77A65B8D"/>
    <w:rsid w:val="79971C39"/>
    <w:rsid w:val="7A527B37"/>
    <w:rsid w:val="7B1B52A3"/>
    <w:rsid w:val="7DE62C18"/>
    <w:rsid w:val="7E56709C"/>
    <w:rsid w:val="7F0F1D8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7"/>
    <w:qFormat/>
    <w:locked/>
    <w:uiPriority w:val="0"/>
    <w:pPr>
      <w:keepNext/>
      <w:keepLines/>
      <w:spacing w:before="340" w:after="330" w:line="578" w:lineRule="auto"/>
      <w:outlineLvl w:val="0"/>
    </w:pPr>
    <w:rPr>
      <w:rFonts w:cs="Times New Roman"/>
      <w:b/>
      <w:bCs/>
      <w:kern w:val="44"/>
      <w:sz w:val="44"/>
      <w:szCs w:val="44"/>
    </w:rPr>
  </w:style>
  <w:style w:type="paragraph" w:styleId="4">
    <w:name w:val="heading 2"/>
    <w:basedOn w:val="1"/>
    <w:next w:val="1"/>
    <w:link w:val="18"/>
    <w:qFormat/>
    <w:uiPriority w:val="9"/>
    <w:pPr>
      <w:keepNext/>
      <w:keepLines/>
      <w:spacing w:line="460" w:lineRule="exact"/>
      <w:ind w:left="480" w:leftChars="200"/>
      <w:outlineLvl w:val="1"/>
    </w:pPr>
    <w:rPr>
      <w:rFonts w:ascii="Cambria" w:hAnsi="Cambria" w:cs="Times New Roman"/>
      <w:b/>
      <w:bCs/>
      <w:kern w:val="0"/>
      <w:sz w:val="32"/>
      <w:szCs w:val="32"/>
    </w:rPr>
  </w:style>
  <w:style w:type="paragraph" w:styleId="5">
    <w:name w:val="heading 4"/>
    <w:basedOn w:val="1"/>
    <w:next w:val="1"/>
    <w:link w:val="28"/>
    <w:semiHidden/>
    <w:unhideWhenUsed/>
    <w:qFormat/>
    <w:locked/>
    <w:uiPriority w:val="0"/>
    <w:pPr>
      <w:keepNext/>
      <w:keepLines/>
      <w:spacing w:before="280" w:after="290" w:line="376" w:lineRule="auto"/>
      <w:outlineLvl w:val="3"/>
    </w:pPr>
    <w:rPr>
      <w:rFonts w:ascii="Cambria" w:hAnsi="Cambria" w:cs="Times New Roman"/>
      <w:b/>
      <w:bCs/>
      <w:sz w:val="28"/>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rFonts w:ascii="Times New Roman" w:hAnsi="Times New Roman"/>
      <w:kern w:val="0"/>
      <w:sz w:val="20"/>
    </w:rPr>
  </w:style>
  <w:style w:type="paragraph" w:styleId="6">
    <w:name w:val="Date"/>
    <w:basedOn w:val="1"/>
    <w:next w:val="1"/>
    <w:link w:val="19"/>
    <w:qFormat/>
    <w:uiPriority w:val="99"/>
    <w:pPr>
      <w:ind w:left="100" w:leftChars="2500"/>
    </w:pPr>
    <w:rPr>
      <w:rFonts w:cs="Times New Roman"/>
      <w:kern w:val="0"/>
      <w:sz w:val="20"/>
      <w:szCs w:val="20"/>
    </w:rPr>
  </w:style>
  <w:style w:type="paragraph" w:styleId="7">
    <w:name w:val="Balloon Text"/>
    <w:basedOn w:val="1"/>
    <w:link w:val="20"/>
    <w:semiHidden/>
    <w:qFormat/>
    <w:uiPriority w:val="99"/>
    <w:rPr>
      <w:rFonts w:cs="Times New Roman"/>
      <w:kern w:val="0"/>
      <w:sz w:val="18"/>
      <w:szCs w:val="18"/>
    </w:rPr>
  </w:style>
  <w:style w:type="paragraph" w:styleId="8">
    <w:name w:val="footer"/>
    <w:basedOn w:val="1"/>
    <w:link w:val="21"/>
    <w:qFormat/>
    <w:uiPriority w:val="99"/>
    <w:pPr>
      <w:tabs>
        <w:tab w:val="center" w:pos="4153"/>
        <w:tab w:val="right" w:pos="8306"/>
      </w:tabs>
      <w:snapToGrid w:val="0"/>
      <w:jc w:val="left"/>
    </w:pPr>
    <w:rPr>
      <w:rFonts w:cs="Times New Roman"/>
      <w:kern w:val="0"/>
      <w:sz w:val="18"/>
      <w:szCs w:val="18"/>
    </w:rPr>
  </w:style>
  <w:style w:type="paragraph" w:styleId="9">
    <w:name w:val="header"/>
    <w:basedOn w:val="1"/>
    <w:link w:val="22"/>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10">
    <w:name w:val="toc 1"/>
    <w:basedOn w:val="1"/>
    <w:next w:val="1"/>
    <w:qFormat/>
    <w:locked/>
    <w:uiPriority w:val="39"/>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2">
    <w:name w:val="Title"/>
    <w:basedOn w:val="1"/>
    <w:next w:val="1"/>
    <w:link w:val="26"/>
    <w:qFormat/>
    <w:locked/>
    <w:uiPriority w:val="0"/>
    <w:pPr>
      <w:spacing w:before="240" w:after="60" w:line="460" w:lineRule="exact"/>
      <w:ind w:firstLine="200" w:firstLineChars="200"/>
      <w:jc w:val="center"/>
      <w:outlineLvl w:val="0"/>
    </w:pPr>
    <w:rPr>
      <w:rFonts w:ascii="Cambria" w:hAnsi="Cambria" w:eastAsia="黑体" w:cs="Times New Roman"/>
      <w:b/>
      <w:bCs/>
      <w:kern w:val="0"/>
      <w:sz w:val="36"/>
      <w:szCs w:val="32"/>
    </w:r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99"/>
    <w:rPr>
      <w:b/>
      <w:bCs/>
    </w:rPr>
  </w:style>
  <w:style w:type="character" w:styleId="17">
    <w:name w:val="Hyperlink"/>
    <w:qFormat/>
    <w:uiPriority w:val="99"/>
    <w:rPr>
      <w:color w:val="0000FF"/>
      <w:u w:val="single"/>
    </w:rPr>
  </w:style>
  <w:style w:type="character" w:customStyle="1" w:styleId="18">
    <w:name w:val="标题 2 字符"/>
    <w:link w:val="4"/>
    <w:semiHidden/>
    <w:qFormat/>
    <w:uiPriority w:val="9"/>
    <w:rPr>
      <w:rFonts w:ascii="Cambria" w:hAnsi="Cambria" w:eastAsia="宋体" w:cs="Times New Roman"/>
      <w:b/>
      <w:bCs/>
      <w:sz w:val="32"/>
      <w:szCs w:val="32"/>
    </w:rPr>
  </w:style>
  <w:style w:type="character" w:customStyle="1" w:styleId="19">
    <w:name w:val="日期 字符"/>
    <w:link w:val="6"/>
    <w:semiHidden/>
    <w:qFormat/>
    <w:locked/>
    <w:uiPriority w:val="99"/>
    <w:rPr>
      <w:rFonts w:ascii="Calibri" w:hAnsi="Calibri" w:eastAsia="宋体" w:cs="Calibri"/>
    </w:rPr>
  </w:style>
  <w:style w:type="character" w:customStyle="1" w:styleId="20">
    <w:name w:val="批注框文本 字符"/>
    <w:link w:val="7"/>
    <w:semiHidden/>
    <w:qFormat/>
    <w:locked/>
    <w:uiPriority w:val="99"/>
    <w:rPr>
      <w:rFonts w:ascii="Calibri" w:hAnsi="Calibri" w:eastAsia="宋体" w:cs="Calibri"/>
      <w:sz w:val="18"/>
      <w:szCs w:val="18"/>
    </w:rPr>
  </w:style>
  <w:style w:type="character" w:customStyle="1" w:styleId="21">
    <w:name w:val="页脚 字符"/>
    <w:link w:val="8"/>
    <w:qFormat/>
    <w:locked/>
    <w:uiPriority w:val="99"/>
    <w:rPr>
      <w:rFonts w:ascii="Calibri" w:hAnsi="Calibri" w:eastAsia="宋体" w:cs="Calibri"/>
      <w:sz w:val="18"/>
      <w:szCs w:val="18"/>
    </w:rPr>
  </w:style>
  <w:style w:type="character" w:customStyle="1" w:styleId="22">
    <w:name w:val="页眉 字符"/>
    <w:link w:val="9"/>
    <w:qFormat/>
    <w:locked/>
    <w:uiPriority w:val="99"/>
    <w:rPr>
      <w:rFonts w:ascii="Calibri" w:hAnsi="Calibri" w:eastAsia="宋体" w:cs="Calibri"/>
      <w:sz w:val="18"/>
      <w:szCs w:val="18"/>
    </w:rPr>
  </w:style>
  <w:style w:type="paragraph" w:customStyle="1" w:styleId="23">
    <w:name w:val="Char Char Char Char"/>
    <w:basedOn w:val="1"/>
    <w:qFormat/>
    <w:uiPriority w:val="99"/>
    <w:pPr>
      <w:widowControl/>
      <w:spacing w:after="160" w:line="240" w:lineRule="exact"/>
      <w:jc w:val="left"/>
    </w:pPr>
    <w:rPr>
      <w:rFonts w:ascii="Tahoma" w:hAnsi="Tahoma" w:cs="Tahoma"/>
      <w:kern w:val="0"/>
      <w:sz w:val="20"/>
      <w:szCs w:val="20"/>
      <w:lang w:eastAsia="en-US"/>
    </w:rPr>
  </w:style>
  <w:style w:type="paragraph" w:customStyle="1" w:styleId="24">
    <w:name w:val="List Paragraph1"/>
    <w:basedOn w:val="1"/>
    <w:qFormat/>
    <w:uiPriority w:val="99"/>
    <w:pPr>
      <w:ind w:firstLine="420" w:firstLineChars="200"/>
    </w:pPr>
  </w:style>
  <w:style w:type="paragraph" w:customStyle="1" w:styleId="25">
    <w:name w:val="p0"/>
    <w:basedOn w:val="1"/>
    <w:qFormat/>
    <w:uiPriority w:val="99"/>
    <w:pPr>
      <w:widowControl/>
    </w:pPr>
    <w:rPr>
      <w:kern w:val="0"/>
    </w:rPr>
  </w:style>
  <w:style w:type="character" w:customStyle="1" w:styleId="26">
    <w:name w:val="标题 字符"/>
    <w:link w:val="12"/>
    <w:qFormat/>
    <w:uiPriority w:val="0"/>
    <w:rPr>
      <w:rFonts w:ascii="Cambria" w:hAnsi="Cambria" w:eastAsia="黑体" w:cs="Times New Roman"/>
      <w:b/>
      <w:bCs/>
      <w:sz w:val="36"/>
      <w:szCs w:val="32"/>
    </w:rPr>
  </w:style>
  <w:style w:type="character" w:customStyle="1" w:styleId="27">
    <w:name w:val="标题 1 字符"/>
    <w:link w:val="3"/>
    <w:qFormat/>
    <w:uiPriority w:val="0"/>
    <w:rPr>
      <w:rFonts w:ascii="Calibri" w:hAnsi="Calibri" w:cs="Calibri"/>
      <w:b/>
      <w:bCs/>
      <w:kern w:val="44"/>
      <w:sz w:val="44"/>
      <w:szCs w:val="44"/>
    </w:rPr>
  </w:style>
  <w:style w:type="character" w:customStyle="1" w:styleId="28">
    <w:name w:val="标题 4 字符"/>
    <w:link w:val="5"/>
    <w:semiHidden/>
    <w:qFormat/>
    <w:uiPriority w:val="0"/>
    <w:rPr>
      <w:rFonts w:ascii="Cambria" w:hAnsi="Cambria" w:eastAsia="宋体" w:cs="Times New Roman"/>
      <w:b/>
      <w:bCs/>
      <w:kern w:val="2"/>
      <w:sz w:val="28"/>
      <w:szCs w:val="28"/>
    </w:rPr>
  </w:style>
  <w:style w:type="paragraph" w:customStyle="1" w:styleId="29">
    <w:name w:val="表格内容"/>
    <w:basedOn w:val="1"/>
    <w:qFormat/>
    <w:uiPriority w:val="0"/>
    <w:pPr>
      <w:overflowPunct w:val="0"/>
      <w:adjustRightInd w:val="0"/>
      <w:snapToGrid w:val="0"/>
      <w:jc w:val="center"/>
    </w:pPr>
    <w:rPr>
      <w:rFonts w:ascii="仿宋" w:hAnsi="仿宋" w:cs="仿宋"/>
      <w:szCs w:val="30"/>
    </w:rPr>
  </w:style>
  <w:style w:type="table" w:customStyle="1" w:styleId="3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FE2FB-EC62-4A75-8EA6-0CD6B4FB9CE0}">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9285</Words>
  <Characters>9917</Characters>
  <Lines>33</Lines>
  <Paragraphs>9</Paragraphs>
  <TotalTime>11</TotalTime>
  <ScaleCrop>false</ScaleCrop>
  <LinksUpToDate>false</LinksUpToDate>
  <CharactersWithSpaces>9993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2020-04-13T05:45:00Z</dcterms:created>
  <dc:creator>林燕</dc:creator>
  <cp:lastModifiedBy>小李老师</cp:lastModifiedBy>
  <cp:lastPrinted>2018-12-27T02:38:00Z</cp:lastPrinted>
  <dcterms:modified xsi:type="dcterms:W3CDTF">2023-06-26T08:57:19Z</dcterms:modified>
  <dc:title>2020级金融管理专业人才培养方案</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9DF83E1EAEFE4661A90FD600600F1450_13</vt:lpwstr>
  </property>
</Properties>
</file>