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560" w:lineRule="exact"/>
        <w:ind w:firstLine="0" w:firstLineChars="0"/>
        <w:jc w:val="center"/>
        <w:rPr>
          <w:rFonts w:ascii="华文中宋" w:hAnsi="华文中宋" w:eastAsia="华文中宋" w:cs="华文中宋"/>
          <w:sz w:val="44"/>
          <w:szCs w:val="44"/>
        </w:rPr>
      </w:pPr>
      <w:r>
        <w:rPr>
          <w:rFonts w:hint="eastAsia" w:ascii="华文中宋" w:hAnsi="华文中宋" w:eastAsia="华文中宋" w:cs="华文中宋"/>
          <w:sz w:val="44"/>
          <w:szCs w:val="44"/>
        </w:rPr>
        <w:t>成人高等教育</w:t>
      </w:r>
      <w:r>
        <w:rPr>
          <w:rFonts w:hint="eastAsia" w:ascii="华文中宋" w:hAnsi="华文中宋" w:eastAsia="华文中宋" w:cs="华文中宋"/>
          <w:sz w:val="44"/>
          <w:szCs w:val="44"/>
          <w:lang w:eastAsia="zh-CN"/>
        </w:rPr>
        <w:t>金融工程专</w:t>
      </w:r>
      <w:r>
        <w:rPr>
          <w:rFonts w:hint="eastAsia" w:ascii="华文中宋" w:hAnsi="华文中宋" w:eastAsia="华文中宋" w:cs="华文中宋"/>
          <w:sz w:val="44"/>
          <w:szCs w:val="44"/>
        </w:rPr>
        <w:t>业人才培养方案</w:t>
      </w:r>
    </w:p>
    <w:p>
      <w:pPr>
        <w:pStyle w:val="12"/>
        <w:spacing w:line="560" w:lineRule="exact"/>
        <w:ind w:firstLine="0" w:firstLineChars="0"/>
        <w:jc w:val="center"/>
        <w:rPr>
          <w:b w:val="0"/>
          <w:sz w:val="32"/>
        </w:rPr>
      </w:pPr>
      <w:r>
        <w:rPr>
          <w:rFonts w:hint="eastAsia"/>
          <w:b w:val="0"/>
          <w:sz w:val="32"/>
        </w:rPr>
        <w:t>办学层次：专升本</w:t>
      </w:r>
      <w:r>
        <w:rPr>
          <w:rFonts w:hint="eastAsia" w:ascii="黑体" w:hAnsi="黑体"/>
          <w:kern w:val="44"/>
          <w:sz w:val="32"/>
        </w:rPr>
        <w:t xml:space="preserve">     </w:t>
      </w:r>
      <w:r>
        <w:rPr>
          <w:rFonts w:hint="eastAsia"/>
          <w:b w:val="0"/>
          <w:sz w:val="32"/>
        </w:rPr>
        <w:t>学习形式：函授</w:t>
      </w:r>
    </w:p>
    <w:p>
      <w:pPr>
        <w:rPr>
          <w:rFonts w:hint="eastAsia" w:ascii="仿宋_GB2312" w:hAnsi="仿宋_GB2312" w:eastAsia="仿宋_GB2312" w:cs="仿宋_GB2312"/>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rPr>
      </w:pPr>
      <w:r>
        <w:rPr>
          <w:rFonts w:hint="eastAsia" w:ascii="黑体" w:hAnsi="黑体" w:eastAsia="黑体"/>
          <w:b w:val="0"/>
          <w:bCs w:val="0"/>
          <w:sz w:val="24"/>
          <w:szCs w:val="24"/>
        </w:rPr>
        <w:t>专业名称及代码</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highlight w:val="none"/>
        </w:rPr>
        <w:t>业名称：</w:t>
      </w:r>
      <w:r>
        <w:rPr>
          <w:rFonts w:hint="eastAsia" w:ascii="仿宋_GB2312" w:hAnsi="仿宋_GB2312" w:eastAsia="仿宋_GB2312" w:cs="仿宋_GB2312"/>
          <w:sz w:val="24"/>
          <w:szCs w:val="24"/>
          <w:highlight w:val="none"/>
          <w:lang w:eastAsia="zh-CN"/>
        </w:rPr>
        <w:t>金融工程</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专业门类：</w:t>
      </w:r>
      <w:r>
        <w:rPr>
          <w:rFonts w:hint="eastAsia" w:ascii="仿宋_GB2312" w:hAnsi="仿宋_GB2312" w:eastAsia="仿宋_GB2312" w:cs="仿宋_GB2312"/>
          <w:sz w:val="24"/>
          <w:szCs w:val="24"/>
          <w:highlight w:val="none"/>
          <w:lang w:val="en-US" w:eastAsia="zh-CN"/>
        </w:rPr>
        <w:t>金融学类</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专业代码：</w:t>
      </w:r>
      <w:r>
        <w:rPr>
          <w:rFonts w:hint="eastAsia" w:ascii="仿宋_GB2312" w:hAnsi="仿宋_GB2312" w:eastAsia="仿宋_GB2312" w:cs="仿宋_GB2312"/>
          <w:sz w:val="24"/>
          <w:szCs w:val="24"/>
          <w:highlight w:val="none"/>
          <w:lang w:eastAsia="zh-CN"/>
        </w:rPr>
        <w:t>020302</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lang w:eastAsia="zh-CN"/>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 xml:space="preserve">    基本学制：2.5年</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授予学位：</w:t>
      </w:r>
      <w:r>
        <w:rPr>
          <w:rFonts w:hint="eastAsia" w:ascii="仿宋_GB2312" w:hAnsi="仿宋_GB2312" w:eastAsia="仿宋_GB2312" w:cs="仿宋_GB2312"/>
          <w:sz w:val="24"/>
          <w:szCs w:val="24"/>
          <w:highlight w:val="none"/>
          <w:lang w:eastAsia="zh-CN"/>
        </w:rPr>
        <w:t>经济学</w:t>
      </w:r>
      <w:r>
        <w:rPr>
          <w:rFonts w:hint="eastAsia" w:ascii="仿宋_GB2312" w:hAnsi="仿宋_GB2312" w:eastAsia="仿宋_GB2312" w:cs="仿宋_GB2312"/>
          <w:sz w:val="24"/>
          <w:szCs w:val="24"/>
          <w:highlight w:val="none"/>
          <w:lang w:val="en-US" w:eastAsia="zh-CN"/>
        </w:rPr>
        <w:t xml:space="preserve">学士           </w:t>
      </w:r>
      <w:r>
        <w:rPr>
          <w:rFonts w:hint="eastAsia" w:ascii="仿宋_GB2312" w:hAnsi="仿宋_GB2312" w:eastAsia="仿宋_GB2312" w:cs="仿宋_GB2312"/>
          <w:sz w:val="24"/>
          <w:szCs w:val="24"/>
          <w:highlight w:val="none"/>
        </w:rPr>
        <w:t xml:space="preserve">     学习年限：2.5-</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年</w:t>
      </w:r>
    </w:p>
    <w:p>
      <w:pPr>
        <w:pStyle w:val="2"/>
        <w:rPr>
          <w:rFonts w:hint="eastAsia"/>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入学要求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学员必须取得经教育部审定核准的国民教育系列高等学校、高等教育自学考试机构颁发的专科以上毕业证书，且通过成人高考被我校录取。</w:t>
      </w:r>
    </w:p>
    <w:p>
      <w:pPr>
        <w:pStyle w:val="2"/>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培养目标与</w:t>
      </w:r>
      <w:r>
        <w:rPr>
          <w:rFonts w:hint="eastAsia" w:ascii="黑体" w:hAnsi="黑体" w:eastAsia="黑体"/>
          <w:b w:val="0"/>
          <w:bCs w:val="0"/>
          <w:sz w:val="24"/>
          <w:szCs w:val="24"/>
          <w:highlight w:val="none"/>
          <w:lang w:val="en-US" w:eastAsia="zh-CN"/>
        </w:rPr>
        <w:t>培养</w:t>
      </w:r>
      <w:r>
        <w:rPr>
          <w:rFonts w:hint="eastAsia" w:ascii="黑体" w:hAnsi="黑体" w:eastAsia="黑体"/>
          <w:b w:val="0"/>
          <w:bCs w:val="0"/>
          <w:sz w:val="24"/>
          <w:szCs w:val="24"/>
          <w:highlight w:val="none"/>
        </w:rPr>
        <w:t>规格</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培养目标</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sz w:val="24"/>
          <w:szCs w:val="24"/>
          <w:highlight w:val="none"/>
          <w:lang w:val="en-US"/>
        </w:rPr>
      </w:pPr>
      <w:r>
        <w:rPr>
          <w:rFonts w:hint="eastAsia" w:ascii="仿宋_GB2312" w:hAnsi="仿宋_GB2312" w:eastAsia="仿宋_GB2312" w:cs="仿宋_GB2312"/>
          <w:color w:val="auto"/>
          <w:sz w:val="24"/>
          <w:szCs w:val="24"/>
        </w:rPr>
        <w:t>本专业人才培养的目标为：具备健全的人格、优良的道德品质和职业操守；具备创新精神、创业意识和创新创业能力；系统掌握金融工程专业知识和相关技能；具备较强实践能力，熟练运用金融工程方法进行金融产品开发设计、投资、套利和金融风险管理，创造性解决金融实际问题；能在银行、互联网金融、民间金融、证券、保险、基金管理公司等金融机构和工商企业从事金融业务的复合型金融工程人才。</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培养规格</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1.素质要求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坚定拥护中国共产党领导和我国社会主义制度</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rPr>
        <w:t>在习近平新时代中国特色社会主义思想指引下，践行社会主义核心价值观，具有深厚的爱国情感和中华民族自豪感；</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崇尚宪法、遵法守纪、崇德向善、诚实守信、尊重生命、热爱劳动，履行道德准则和行为规范，具有社会责任感和社会参与意识；</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具有</w:t>
      </w:r>
      <w:r>
        <w:rPr>
          <w:rFonts w:hint="eastAsia" w:ascii="仿宋_GB2312" w:hAnsi="仿宋_GB2312" w:eastAsia="仿宋_GB2312" w:cs="仿宋_GB2312"/>
          <w:color w:val="auto"/>
          <w:sz w:val="24"/>
          <w:szCs w:val="24"/>
          <w:lang w:val="en-US" w:eastAsia="zh-CN"/>
        </w:rPr>
        <w:t>金融</w:t>
      </w:r>
      <w:r>
        <w:rPr>
          <w:rFonts w:hint="eastAsia" w:ascii="仿宋_GB2312" w:hAnsi="仿宋_GB2312" w:eastAsia="仿宋_GB2312" w:cs="仿宋_GB2312"/>
          <w:color w:val="auto"/>
          <w:sz w:val="24"/>
          <w:szCs w:val="24"/>
        </w:rPr>
        <w:t>意识、环保意识、安全意识、信息素养、工匠精神、创新思维；</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勇于奋斗、乐观向上，具有自我管理能力、职业生涯规划的意识，有较强的集体意识和团队合作精神；</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具有健康的体魄、心理和健全的人格，掌握基本运动知识和1-2项运动技能，养成良好的健身与卫生习惯，良好的行为习惯；</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color w:val="auto"/>
          <w:sz w:val="24"/>
          <w:szCs w:val="24"/>
        </w:rPr>
        <w:t>具有一定的审美和人文素养，能够形成1-2项艺术特长或爱好。</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2.知识要求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color w:val="auto"/>
          <w:sz w:val="24"/>
          <w:szCs w:val="24"/>
        </w:rPr>
        <w:t>具备大学生独立思考和观察金融现象的判断分析能力，能在银行、微型金融、证券、保险、基金管理公司等金融机构和工商企业从事金融业务。具备创新精神、创业意识和创新创业能力，能够把握金融发展的趋势，学以致用，创造性地解决实际金融问题。</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3.能力要求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auto"/>
          <w:sz w:val="24"/>
          <w:szCs w:val="24"/>
        </w:rPr>
        <w:t>系统地掌握金融工程学、金融理财学、</w:t>
      </w:r>
      <w:r>
        <w:rPr>
          <w:rFonts w:hint="eastAsia" w:ascii="仿宋_GB2312" w:hAnsi="仿宋_GB2312" w:eastAsia="仿宋_GB2312" w:cs="仿宋_GB2312"/>
          <w:color w:val="auto"/>
          <w:sz w:val="24"/>
          <w:szCs w:val="24"/>
          <w:lang w:val="en-US" w:eastAsia="zh-CN"/>
        </w:rPr>
        <w:t>证券</w:t>
      </w:r>
      <w:r>
        <w:rPr>
          <w:rFonts w:hint="eastAsia" w:ascii="仿宋_GB2312" w:hAnsi="仿宋_GB2312" w:eastAsia="仿宋_GB2312" w:cs="仿宋_GB2312"/>
          <w:color w:val="auto"/>
          <w:sz w:val="24"/>
          <w:szCs w:val="24"/>
        </w:rPr>
        <w:t>投资学等专业知识，能在此基础上熟练运用金融工程方法进行金融产品开发设计、投资、套利和金融风险管理。熟练分析各类型公司财务报表，熟悉金融市场规则，能熟练驾驭银行信贷、证券分析、理财规划、金融风险管理等业务，能熟练运用证券市场各种金融投资工具，搭建金融模型进行分析交易与套利。学生应具有正确的价值观和人生观，良好的道德修养及遵纪守法的现代公民意识，具有健全人格和独立思考的能力以及具有追求知识不断学习的兴趣，具备良好的沟通、应变、协调和创新能力，成为满足现代化需要的具有国际视野的专门人才。</w:t>
      </w:r>
    </w:p>
    <w:p>
      <w:pPr>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课程设置</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课程设置分为</w:t>
      </w:r>
      <w:r>
        <w:rPr>
          <w:rFonts w:hint="eastAsia" w:ascii="仿宋_GB2312" w:hAnsi="仿宋_GB2312" w:eastAsia="仿宋_GB2312" w:cs="仿宋_GB2312"/>
          <w:sz w:val="24"/>
          <w:szCs w:val="24"/>
          <w:highlight w:val="none"/>
          <w:lang w:val="en-US" w:eastAsia="zh-CN"/>
        </w:rPr>
        <w:t>通识教育课程、学科基础课程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专业课</w:t>
      </w:r>
      <w:r>
        <w:rPr>
          <w:rFonts w:hint="eastAsia" w:ascii="仿宋_GB2312" w:hAnsi="仿宋_GB2312" w:eastAsia="仿宋_GB2312" w:cs="仿宋_GB2312"/>
          <w:sz w:val="24"/>
          <w:szCs w:val="24"/>
          <w:highlight w:val="none"/>
          <w:lang w:val="en-US" w:eastAsia="zh-CN"/>
        </w:rPr>
        <w:t>程三</w:t>
      </w:r>
      <w:r>
        <w:rPr>
          <w:rFonts w:hint="eastAsia" w:ascii="仿宋_GB2312" w:hAnsi="仿宋_GB2312" w:eastAsia="仿宋_GB2312" w:cs="仿宋_GB2312"/>
          <w:sz w:val="24"/>
          <w:szCs w:val="24"/>
          <w:highlight w:val="none"/>
        </w:rPr>
        <w:t>类。</w:t>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表一：通识教育课程设置一览表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808"/>
        <w:gridCol w:w="7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思想道德与法治</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本课程主要目的是针对大学生成长过程中面临的思想道德和法律问题，开展马克思主义的世界观、人生观、价值观、道德观、法治观教育，来引导大学生提高思想道德素质和法治素养，成长为自觉担当民族复兴大任的时代新人</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中国近代史纲要</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是全国高等学校本科生必修的一门思想政治理论课，主要讲授近现代中国社会发展和革命、建设、改革的历史进程，总结其内在规律性，引导大学生了解国情、国史，深刻领会历史和人民怎样选择了马克思主义，选择了中国共产党，选择了社会主义道路，选择了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课程</w:t>
            </w:r>
            <w:r>
              <w:rPr>
                <w:rFonts w:hint="eastAsia" w:ascii="仿宋_GB2312" w:hAnsi="仿宋_GB2312" w:eastAsia="仿宋_GB2312" w:cs="仿宋_GB2312"/>
                <w:color w:val="000000"/>
                <w:kern w:val="0"/>
                <w:sz w:val="21"/>
                <w:szCs w:val="21"/>
                <w:highlight w:val="none"/>
                <w:lang w:bidi="ar"/>
              </w:rPr>
              <w:t>通过开展党和国家重大方针政策、重大活动和重大改革措施教育，开展我国改革开放和社会主义现代化建设的形势、任务和发展成就教育，开展当前国际形势与国际关系的状况、发展趋势和我国的对外政策教育，引导大学生遵循正确的观点和科学的方法分析判断形势，全面准确地理解党的路线、方针和政策，不断提高大学生认识把握形势的能力，进而坚定大学生走中国特色社会主义道路的理想信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形势与政策Ⅱ</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形势与政策Ⅲ</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形势与政策Ⅳ</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马克思主义基本原理概论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作为高校思想政治理论课程体系的主干课程，是一门系统讲授马克思主义基本理论的课程，涵盖了包括马克思主义哲学、政治经济学和科学社会主义三个重要组成部分在内的全部重要内容。该课程是对大学生进行远大的理想信念教育及正确的世界观、人生观、价值观教育的主渠道，它肩负着培养什么人、怎样培养人、为谁培养人的重要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毛泽东思想</w:t>
            </w:r>
            <w:r>
              <w:rPr>
                <w:rFonts w:hint="default" w:ascii="仿宋_GB2312" w:hAnsi="仿宋_GB2312" w:eastAsia="仿宋_GB2312" w:cs="仿宋_GB2312"/>
                <w:color w:val="000000"/>
                <w:kern w:val="0"/>
                <w:sz w:val="21"/>
                <w:szCs w:val="21"/>
                <w:highlight w:val="none"/>
                <w:lang w:bidi="ar"/>
              </w:rPr>
              <w:t>和</w:t>
            </w:r>
            <w:r>
              <w:rPr>
                <w:rFonts w:hint="eastAsia" w:ascii="仿宋_GB2312" w:hAnsi="仿宋_GB2312" w:eastAsia="仿宋_GB2312" w:cs="仿宋_GB2312"/>
                <w:color w:val="000000"/>
                <w:kern w:val="0"/>
                <w:sz w:val="21"/>
                <w:szCs w:val="21"/>
                <w:highlight w:val="none"/>
                <w:lang w:bidi="ar"/>
              </w:rPr>
              <w:t>中国特色社会主义理论体系概论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着重讲述马克思主义中国化的重大理论成果的形成、发展及其理论价值与实践价值的重要思想政治理论课。是大学生学习和掌握中国化马克思主义重要理论成果及其价值的主渠道。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6</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习近平新时代中国特色社会主义思想概论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0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Cs w:val="21"/>
                <w:lang w:val="en-US" w:eastAsia="zh-CN"/>
              </w:rPr>
              <w:t>本</w:t>
            </w:r>
            <w:r>
              <w:rPr>
                <w:rFonts w:hint="eastAsia" w:ascii="仿宋_GB2312" w:hAnsi="仿宋_GB2312" w:eastAsia="仿宋_GB2312" w:cs="仿宋_GB2312"/>
                <w:szCs w:val="21"/>
              </w:rPr>
              <w:t>课程</w:t>
            </w:r>
            <w:r>
              <w:rPr>
                <w:rFonts w:hint="eastAsia" w:ascii="仿宋_GB2312" w:hAnsi="仿宋_GB2312" w:eastAsia="仿宋_GB2312" w:cs="仿宋_GB2312"/>
                <w:szCs w:val="21"/>
                <w:lang w:val="en-US" w:eastAsia="zh-CN"/>
              </w:rPr>
              <w:t>旨</w:t>
            </w:r>
            <w:r>
              <w:rPr>
                <w:rFonts w:hint="eastAsia" w:ascii="仿宋_GB2312" w:hAnsi="仿宋_GB2312" w:eastAsia="仿宋_GB2312" w:cs="仿宋_GB2312"/>
                <w:szCs w:val="21"/>
              </w:rPr>
              <w:t>帮助学生深入学习领会习近平新时代中国特色社会主义思想的核心要义、精神实质、丰富内涵、实践要求的理解与掌握程度，提高学生运用所学知识、基本原理去分析与解决问题的能力，加深对中国新时代中国特色社会主义建设实践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7</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党史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充分吸收党史研究最新成果，以史论结合的形式，重点叙述和评价重大历史事件和重要历史人物、重大方针政策和重要战略部署、重大理论创新成果及其发展历程；深入阐释中国共产党为什么“能”、马克思主义为什么“行”、中国特色社会主义为什么“好”的道理；着力弘扬中国共产党人的崇高革命精神和风范；深刻解读历史性变革中蕴藏的内在逻辑，历史性成就背后的道路、理论、制度、文化优势，文风朴实、通俗易懂，是全党特别是基层党员干部学习党的历史的重要读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8</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新中国史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讲述了中国共产党团结带领全国各族人民在经济、政治、文化、社会、生态文明建设以及国防和军队、“一国两制”和祖国统一、外交、党的建设等各方面取得的伟大成就和宝贵经验，突出展示了党的十八大以来，在以习近平同志为核心的党中央坚强领导下，中国实现了第一个百年奋斗目标，在中华大地上全面建成了小康社会，历史性地解决了绝对贫困问题，各项事业取得了历史性成就、发生了历史性变革，正在向着全面建成社会主义现代化强国的第二个百年奋斗目标、实现中华民族伟大复兴的中国梦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9</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改革开放史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坚持以习近平新时代中国特色社会主义思想为指导，全面贯彻习近平总书记关于党史、新中国史、改革开放史、社会主义发展史的重要论述，充分体现习近平总书记在庆祝中国共产党成立100周年大会上的重要讲话精神，以我们党关于历史问题的两个决议和党中央有关精神为依据，准确、深刻、简明地阐述了中华人民共和国70多年砥砺奋斗史，我国改革开放40多年壮阔实践史、社会主义500多年探索发展史，对于帮助</w:t>
            </w:r>
            <w:r>
              <w:rPr>
                <w:rFonts w:hint="eastAsia" w:ascii="仿宋_GB2312" w:hAnsi="仿宋_GB2312" w:eastAsia="仿宋_GB2312" w:cs="仿宋_GB2312"/>
                <w:color w:val="000000"/>
                <w:kern w:val="0"/>
                <w:sz w:val="21"/>
                <w:szCs w:val="21"/>
                <w:highlight w:val="none"/>
                <w:lang w:val="en-US" w:eastAsia="zh-CN" w:bidi="ar"/>
              </w:rPr>
              <w:t>学生</w:t>
            </w:r>
            <w:r>
              <w:rPr>
                <w:rFonts w:hint="eastAsia" w:ascii="仿宋_GB2312" w:hAnsi="仿宋_GB2312" w:eastAsia="仿宋_GB2312" w:cs="仿宋_GB2312"/>
                <w:color w:val="000000"/>
                <w:kern w:val="0"/>
                <w:sz w:val="21"/>
                <w:szCs w:val="21"/>
                <w:highlight w:val="none"/>
                <w:lang w:bidi="ar"/>
              </w:rPr>
              <w:t>学习理解历史、树立正确历史观，更加自觉地坚持以史为鉴、开创未来具有重要意义。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10</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社会主义发展史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从空想社会主义的产生和发展、科学社会主义的创立及其实践、世界社会主义的曲折与奋起、中国特色社会主义开辟社会主义新纪元、中国特色社会主义进入新时代等方面准确、深刻、简明地阐述了社会主义500多年探索发展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11</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心理健康</w:t>
            </w:r>
          </w:p>
        </w:tc>
        <w:tc>
          <w:tcPr>
            <w:tcW w:w="3665" w:type="pct"/>
            <w:vAlign w:val="center"/>
          </w:tcPr>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旨在使学生明确心理健康的标准及意义，增强自我心理保健意识和心理危机预防意识，掌握并应用心理健康知识，培养自我认知能力，人际沟通能力、自我调节能力，切实提高心理素质，促进学生全面发展。通过课程教学，使学生在知识、能力、素质三个方面达到以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计算机应用基础</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本课程是培养学生计算机应用的能力，提高学生的信息素养，为后继的计算机课程和专业课程的学习打下必备的计算机基础知识和技能。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13</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属基本素质课，旨在让学生熟悉掌握日常生活中经常使用的英语基础知识与书面用语，具备一定的英语思维习惯，能够进行基本的日常交际会话；在加强英语语言基础知识和基本技能的同时，了解职场语言文化知识和通用的职场沟通技能，以交际为目的，培养学生的社会适应性、提高其自主学习能力、就业能力，满足学生初入职场的实际需求，为将来的就业工作做好充分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pP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大学英语Ⅱ</w:t>
            </w:r>
          </w:p>
        </w:tc>
        <w:tc>
          <w:tcPr>
            <w:tcW w:w="3665"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仿宋_GB2312"/>
          <w:b/>
          <w:bCs/>
          <w:sz w:val="24"/>
          <w:szCs w:val="24"/>
          <w:lang w:val="en-US" w:eastAsia="zh-CN"/>
        </w:rPr>
      </w:pPr>
      <w:r>
        <w:rPr>
          <w:rFonts w:hint="eastAsia" w:ascii="黑体" w:hAnsi="黑体" w:eastAsia="黑体" w:cs="黑体"/>
          <w:b/>
          <w:bCs/>
          <w:sz w:val="24"/>
          <w:szCs w:val="24"/>
          <w:lang w:val="en-US" w:eastAsia="zh-CN"/>
        </w:rPr>
        <w:t>表二：学科基础课程设置一览表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1808"/>
        <w:gridCol w:w="7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微观经济学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微观经济学以价格理论为中心，研究企业、家庭和单个市场等微观供求行为与价格之间关系。学习内容包括供求的含义及均衡价格的形成、与消费相关的效用论、与生产相关的生产理论和成本理论、市场与厂商理论和市场与福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金融学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auto"/>
                <w:kern w:val="0"/>
                <w:sz w:val="21"/>
                <w:szCs w:val="21"/>
                <w:vertAlign w:val="baseline"/>
                <w:lang w:val="en-US" w:eastAsia="zh-CN" w:bidi="ar-SA"/>
              </w:rPr>
              <w:t>本课程教学目的在于向学生系统阐述有关货币金融方面的基本知识和一般原理，使学生对货币、信用、银行等方面基本范畴、内在关系及其运动规律有比较系统地掌握，同时，通过介绍国内外货币金融最新理论发展和实践动态，加深对金融改革的理解和认识，提高综合分析问题和解决问题的能力，并为今后学习其他金融专业课打好理论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政治经济学</w:t>
            </w:r>
          </w:p>
        </w:tc>
        <w:tc>
          <w:tcPr>
            <w:tcW w:w="3660"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auto"/>
                <w:kern w:val="0"/>
                <w:sz w:val="21"/>
                <w:szCs w:val="21"/>
                <w:vertAlign w:val="baseline"/>
                <w:lang w:val="en-US" w:eastAsia="zh-Hans" w:bidi="ar-SA"/>
              </w:rPr>
              <w:t>政治经济学原理以生产关系为研究对象，在揭示社会经济制度与经济运行一般原理的基础上，阐述了资本主义生产关系的实质和经济运行，社会主义生产关系的实质与中国经济体制改革和经济运行，以及在经济全球化背景下国际经济关系与中国经济发展的基本问题</w:t>
            </w:r>
            <w:r>
              <w:rPr>
                <w:rFonts w:hint="eastAsia" w:ascii="仿宋_GB2312" w:hAnsi="仿宋_GB2312" w:eastAsia="仿宋_GB2312" w:cs="仿宋_GB2312"/>
                <w:color w:val="auto"/>
                <w:kern w:val="0"/>
                <w:sz w:val="21"/>
                <w:szCs w:val="21"/>
                <w:vertAlign w:val="baseli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宏观经济学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宏观经济学以收入理论为中心，研究一个国家整体经济运行及政府如何运用经济政策来影响经济。学习内容包括国民经济的循环流转、国内生产总值的概念及基本核算方法、均衡国民收入的决定与乘数论、宏观经济政策的政策工具及应用、失业、货膨胀的形成原因及抑制通货膨胀的经济政策、经济增长的一般规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会计学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auto"/>
                <w:kern w:val="0"/>
                <w:sz w:val="21"/>
                <w:szCs w:val="21"/>
                <w:vertAlign w:val="baseline"/>
                <w:lang w:val="en-US" w:eastAsia="zh-CN" w:bidi="ar-SA"/>
              </w:rPr>
              <w:t>本课程主要介绍借贷记账法，账户，会计凭证，会计帐簿以及进行会计核算编制会计报表。学习本课程的意义在于使学生了解会计是什么，是怎样进行核算的，掌握会计学的基本理论和确认计量方法。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统计学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auto"/>
                <w:kern w:val="0"/>
                <w:sz w:val="21"/>
                <w:szCs w:val="21"/>
                <w:vertAlign w:val="baseline"/>
                <w:lang w:val="en-US" w:eastAsia="zh-CN" w:bidi="ar-SA"/>
              </w:rPr>
              <w:t>通过本课程的学习，能使学生掌握统计学的基本理论、基本方法，具有采集数据、设计调查问卷和处理调查数据的基本能力：具有灵活应用所学的统计学理论和方法，分析和解决社会经济管理领域实际问题的基本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财政学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auto"/>
                <w:kern w:val="0"/>
                <w:sz w:val="21"/>
                <w:szCs w:val="21"/>
                <w:vertAlign w:val="baseline"/>
                <w:lang w:val="en-US" w:eastAsia="zh-CN" w:bidi="ar-SA"/>
              </w:rPr>
              <w:t>通过学习本课程，能帮助学生掌握财政学的基本概念和主要理论，对财政收入、财政支出、宏观财政调控有清晰而明确的了解，认识到财政在整个国民经济中的重要作用和主要地位，特别是在社会主义市场经济中的职能和作用。能理论结合实践，运用所学理论简单分析社会经济的各个方面，评析当前的经济形式和经济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计量经济学</w:t>
            </w:r>
          </w:p>
        </w:tc>
        <w:tc>
          <w:tcPr>
            <w:tcW w:w="3660"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auto"/>
                <w:kern w:val="0"/>
                <w:sz w:val="21"/>
                <w:szCs w:val="21"/>
                <w:vertAlign w:val="baseline"/>
                <w:lang w:val="en-US" w:eastAsia="zh-CN" w:bidi="ar-SA"/>
              </w:rPr>
              <w:t>本课程通过介绍现代金融计量学的基础理论、模型和方法，培养学生在经济金融理论的基础上，借助计量分析软件建立金融计量学模型的能力，拓宽学生分析、研究现实经济金融问题的思路，增强学生的数量分析和实际动手能力。通过本课程的教学，希望学生能够掌握计量经济学的基本理论和方法，具备利用计量经济方法分析研究现实金融经济问题的初步能力，熟练掌握和应用计量分析软件。</w:t>
            </w:r>
          </w:p>
        </w:tc>
      </w:tr>
    </w:tbl>
    <w:p>
      <w:pPr>
        <w:pStyle w:val="2"/>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eastAsia="仿宋_GB2312"/>
          <w:sz w:val="24"/>
          <w:szCs w:val="24"/>
          <w:lang w:val="en-US" w:eastAsia="zh-CN"/>
        </w:rPr>
      </w:pPr>
    </w:p>
    <w:p>
      <w:pPr>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楷体_GB2312" w:hAnsi="楷体_GB2312" w:eastAsia="楷体_GB2312" w:cs="楷体_GB2312"/>
          <w:b/>
          <w:bCs/>
          <w:sz w:val="24"/>
          <w:szCs w:val="24"/>
          <w:lang w:val="en-US" w:eastAsia="zh-CN"/>
        </w:rPr>
      </w:pPr>
      <w:r>
        <w:rPr>
          <w:rFonts w:hint="eastAsia" w:ascii="黑体" w:hAnsi="黑体" w:eastAsia="黑体" w:cs="黑体"/>
          <w:b/>
          <w:bCs/>
          <w:sz w:val="24"/>
          <w:szCs w:val="24"/>
          <w:lang w:val="en-US" w:eastAsia="zh-CN"/>
        </w:rPr>
        <w:t>表三：专业课程设置一览表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808"/>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金融衍生工具</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auto"/>
                <w:kern w:val="0"/>
                <w:sz w:val="21"/>
                <w:szCs w:val="21"/>
                <w:vertAlign w:val="baseline"/>
                <w:lang w:val="en-US" w:eastAsia="zh-Hans" w:bidi="ar-SA"/>
              </w:rPr>
              <w:t>本课程系统地讲授金融衍生工具，包括金融衍生工具市场的运作机制、衍生工具的价格决定以及衍生工具的交易策略等问题。讲授的金融衍生工具包括远期、期货、互换和期权等基本衍生工具，以及债券市场和股票市场的创新产品。本课程注重理论结合实际，采取定性和定量的方法列举案例解释基本原理，使学生掌握衍生金融工具的运用。该课程目的是为学生将来从事金融领域的实务工作打下必备的理论基础，通过本门课程的学习，一方面要求学生掌握系统的金融衍生工具基础知识，掌握金融衍生工具的交易机制、交易策略；另一方面也要培养学生金融衍生品的创设理念和思维方式以及创新性地解决实际金融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金融工程学</w:t>
            </w:r>
          </w:p>
        </w:tc>
        <w:tc>
          <w:tcPr>
            <w:tcW w:w="366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auto"/>
                <w:kern w:val="0"/>
                <w:sz w:val="21"/>
                <w:szCs w:val="21"/>
                <w:vertAlign w:val="baseline"/>
                <w:lang w:val="en-US" w:eastAsia="zh-Hans" w:bidi="ar-SA"/>
              </w:rPr>
              <w:t>金融工程是关于金融衍生品定价及其应用的理论与实务的专业理论课。是金融学专业的必修课，通过该课程的教学，使学生了解和掌握金融工程的思想、理论与技术；金融衍生品定价；金融衍生品在风险管理过程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证券投资学</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auto"/>
                <w:kern w:val="0"/>
                <w:sz w:val="21"/>
                <w:szCs w:val="21"/>
                <w:vertAlign w:val="baseline"/>
                <w:lang w:val="en-US" w:eastAsia="zh-CN" w:bidi="ar-SA"/>
              </w:rPr>
              <w:t>证券投资学是金融工程专业和相关金融经济类专业学生必须掌握的专业主干必修课程。学生需要掌握有关证券投资的基本知识和原理，具体包括证券投资工具、证券市场、证券投资基本分析，证券投资技术分析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商业银行业务与经营</w:t>
            </w:r>
          </w:p>
        </w:tc>
        <w:tc>
          <w:tcPr>
            <w:tcW w:w="366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auto"/>
                <w:kern w:val="0"/>
                <w:sz w:val="21"/>
                <w:szCs w:val="21"/>
                <w:vertAlign w:val="baseline"/>
                <w:lang w:val="en-US" w:eastAsia="zh-CN" w:bidi="ar-SA"/>
              </w:rPr>
              <w:t>该课程是金融工程专业的一门专业理论课。其主要任务是使学生对商业银行的基本理论有较全面的理解和较深刻的认识，对银行资本、负债、现金资本、贷款、中间业务等基本业务有较系统地掌握；提高学生的专业素养，掌握分析银行经营管理的正确方法，培养其解决银行实际问题的能力，为将来的学习和工作打下必要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国际金融</w:t>
            </w:r>
          </w:p>
        </w:tc>
        <w:tc>
          <w:tcPr>
            <w:tcW w:w="3667"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auto"/>
                <w:kern w:val="0"/>
                <w:sz w:val="21"/>
                <w:szCs w:val="21"/>
                <w:vertAlign w:val="baseline"/>
                <w:lang w:val="en-US" w:eastAsia="zh-CN" w:bidi="ar-SA"/>
              </w:rPr>
              <w:t>本课程是为商务英语专业本科高年级学生开设的一门商务知识与实践模块限修课程，旨在使学生在已有一定国际商务和经济学知识和比较好的英语语言能力的基础上，对国际金融方面的基本理论有较全面的了解，并熟练国际金融体系的历史沿革，外汇市场的交易工具和风险管理，国际金融市场和市场操作行为，及金融分析概念与工具等方面的内容，实现高素质、复合型英语人才的培养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公司金融</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auto"/>
                <w:kern w:val="0"/>
                <w:sz w:val="21"/>
                <w:szCs w:val="21"/>
                <w:vertAlign w:val="baseline"/>
                <w:lang w:val="en-US" w:eastAsia="zh-CN" w:bidi="ar-SA"/>
              </w:rPr>
              <w:t>本门课程是以公司为核心，金融市场为平台，探讨公司融资、投资、治理等决策，实现公司价值最大化为目标。该课程把握公司金融领域的基本理论和前沿发展脉络，教学中将理论贯彻于中国公司实际。教学目标是传授学生现代公司金融的理论知识和实务，使得他们全面了解企业的各种融资机制和金融工具，为企业进行金融市场的融资、投资与风险管理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财富管理</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auto"/>
                <w:kern w:val="0"/>
                <w:sz w:val="21"/>
                <w:szCs w:val="21"/>
                <w:vertAlign w:val="baseline"/>
                <w:lang w:val="en-US" w:eastAsia="zh-CN" w:bidi="ar-SA"/>
              </w:rPr>
              <w:t>通过</w:t>
            </w:r>
            <w:r>
              <w:rPr>
                <w:rFonts w:hint="eastAsia" w:ascii="仿宋_GB2312" w:hAnsi="仿宋_GB2312" w:eastAsia="仿宋_GB2312" w:cs="仿宋_GB2312"/>
                <w:color w:val="auto"/>
                <w:kern w:val="0"/>
                <w:sz w:val="21"/>
                <w:szCs w:val="21"/>
                <w:vertAlign w:val="baseline"/>
                <w:lang w:val="en-US" w:eastAsia="zh-Hans" w:bidi="ar-SA"/>
              </w:rPr>
              <w:t>该</w:t>
            </w:r>
            <w:r>
              <w:rPr>
                <w:rFonts w:hint="eastAsia" w:ascii="仿宋_GB2312" w:hAnsi="仿宋_GB2312" w:eastAsia="仿宋_GB2312" w:cs="仿宋_GB2312"/>
                <w:color w:val="auto"/>
                <w:kern w:val="0"/>
                <w:sz w:val="21"/>
                <w:szCs w:val="21"/>
                <w:vertAlign w:val="baseline"/>
                <w:lang w:val="en-US" w:eastAsia="zh-CN" w:bidi="ar-SA"/>
              </w:rPr>
              <w:t>课程的教学，使学生较全面地了解个人理财的基础理论和基本流程以及理财规划师的基本工作内容，观看国现行的各类个人理财产品，掌握各类理财产品的内容、性质、风险和收益；明确个人理财过程中应当承担的义务、应当享有的法定权利以及应当承担的法律责任。理论联系实际，提高学生理解、运用个人理财工具的水平以及分析解决财富管理中出现实际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rPr>
              <w:t>金融计量学</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auto"/>
                <w:kern w:val="0"/>
                <w:sz w:val="21"/>
                <w:szCs w:val="21"/>
                <w:vertAlign w:val="baseline"/>
                <w:lang w:val="en-US" w:eastAsia="zh-Hans" w:bidi="ar-SA"/>
              </w:rPr>
              <w:t>该课程是以金融学和统计学为基础，系统介绍了金融时间序列数据的基本建模方法和常用软件工具。其目的是通过建立金融计量模型来研究实际的金融问题。通过本课程的学习，使得学生掌握金融计量学的基本方法和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9</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rPr>
              <w:t>金融风险管理</w:t>
            </w:r>
          </w:p>
        </w:tc>
        <w:tc>
          <w:tcPr>
            <w:tcW w:w="366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auto"/>
                <w:kern w:val="0"/>
                <w:sz w:val="21"/>
                <w:szCs w:val="21"/>
                <w:vertAlign w:val="baseline"/>
                <w:lang w:val="en-US" w:eastAsia="zh-Hans" w:bidi="ar-SA"/>
              </w:rPr>
              <w:t>本课程具有综合性、交叉性、前沿性等特点，形成统计、数学、金融和投资多领域的交叉。本课程是基于先前基础课程经济学、金融学、概率与数理统计、会计学、统计学、投资学等知识，是对这些知识的应用和融会贯通。通过本课程的学习，使学生掌握金融风险管理的基本原理、基本理论、基本方法和基本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10</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金融科技学</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auto"/>
                <w:kern w:val="0"/>
                <w:sz w:val="21"/>
                <w:szCs w:val="21"/>
                <w:vertAlign w:val="baseline"/>
                <w:lang w:val="en-US" w:eastAsia="zh-CN" w:bidi="ar-SA"/>
              </w:rPr>
              <w:t>本课程属于金融与科技创新的交叉性应用学科，课程力图以计算机网络通信技术、云计算、物联网、大数据、区块链、智能AI等现代信息技术在金融行业的应用发展演变的主线来探讨当今以数字金融发展为前沿的金融科技发展新格局，综合现代科技创新理论、数字货币理论、网络外部性理论、标准化发展理论与沙盒监管理论等基础理论并结合国内外金融机构与各金融分支行业（银行\保险\证券\信托）科技创新的典型案例，系统阐述现代金融科技体系形成与发展的全貌及其前沿动向，培养学生从事金融科技创新工作所必备的基础知识与业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eastAsia="宋体"/>
                <w:lang w:val="en-US" w:eastAsia="zh-CN"/>
              </w:rPr>
            </w:pPr>
            <w:r>
              <w:rPr>
                <w:rFonts w:hint="eastAsia"/>
                <w:lang w:val="en-US" w:eastAsia="zh-CN"/>
              </w:rPr>
              <w:t>11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rPr>
              <w:t>区块链金融</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color w:val="auto"/>
                <w:kern w:val="0"/>
                <w:sz w:val="21"/>
                <w:szCs w:val="21"/>
                <w:vertAlign w:val="baseline"/>
                <w:lang w:val="en-US" w:eastAsia="zh-Hans" w:bidi="ar-SA"/>
              </w:rPr>
              <w:t>本课程以区块链应用场景为载体，通过理论与实践相结合的方式使学生能够初步掌握区块链的基础知识及其在金融领域的应用，并借助游戏化、仿真模拟的实现方式加深对区块链技术的实现原理、应用模式及运营机制等相关内容的理解</w:t>
            </w:r>
            <w:r>
              <w:rPr>
                <w:rFonts w:hint="eastAsia" w:ascii="仿宋_GB2312" w:hAnsi="仿宋_GB2312" w:eastAsia="仿宋_GB2312" w:cs="仿宋_GB2312"/>
                <w:color w:val="auto"/>
                <w:kern w:val="0"/>
                <w:sz w:val="21"/>
                <w:szCs w:val="21"/>
                <w:vertAlign w:val="baseline"/>
                <w:lang w:val="en-US" w:eastAsia="zh-CN" w:bidi="ar-SA"/>
              </w:rPr>
              <w:t>。</w:t>
            </w:r>
            <w:r>
              <w:rPr>
                <w:rFonts w:hint="eastAsia" w:ascii="仿宋_GB2312" w:hAnsi="仿宋_GB2312" w:eastAsia="仿宋_GB2312" w:cs="仿宋_GB2312"/>
                <w:color w:val="auto"/>
                <w:kern w:val="0"/>
                <w:sz w:val="21"/>
                <w:szCs w:val="21"/>
                <w:vertAlign w:val="baseline"/>
                <w:lang w:val="en-US" w:eastAsia="zh-Hans" w:bidi="ar-SA"/>
              </w:rPr>
              <w:t>通过区块链基础知识的学习以及案例中行业前沿动态的分析，了解真实区块链金融应用案例和区块链技术对金融行业产生的巨大变革，领悟新技术对商业模式的改变与应用价值，从而激发学生的创新意识，培养学生的区块链思维与能力，促使学生跟上金融科技发展的脚步。</w:t>
            </w: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sz w:val="24"/>
          <w:szCs w:val="24"/>
          <w:highlight w:val="none"/>
        </w:rPr>
      </w:pP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highlight w:val="none"/>
        </w:rPr>
      </w:pPr>
    </w:p>
    <w:p>
      <w:pPr>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考核与</w:t>
      </w:r>
      <w:r>
        <w:rPr>
          <w:rFonts w:hint="eastAsia" w:ascii="黑体" w:hAnsi="黑体" w:eastAsia="黑体"/>
          <w:b w:val="0"/>
          <w:bCs w:val="0"/>
          <w:sz w:val="24"/>
          <w:szCs w:val="24"/>
          <w:highlight w:val="none"/>
        </w:rPr>
        <w:t>毕业要求</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考核要求</w:t>
      </w:r>
    </w:p>
    <w:p>
      <w:pPr>
        <w:pStyle w:val="2"/>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课程考核立足课程特点和基本要求，采用过程性考核（平时成绩）与终结性考核（期末考试）相结合的模式。其中平时成绩由平时学习及表现、作业、考勤三部分组成。课程期末考试成绩占总成绩比例原则上不低于60%，不超过80%。考勤缺课学时数占该门课程总时数30%以上者，不能参加本课程的考核，该课程成绩按“0”分记载。</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毕业要求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1.学生在基本学制2.5年的专业人才培养方案所规定的</w:t>
      </w:r>
      <w:r>
        <w:rPr>
          <w:rFonts w:hint="eastAsia" w:ascii="仿宋_GB2312" w:hAnsi="仿宋_GB2312" w:eastAsia="仿宋_GB2312" w:cs="仿宋_GB2312"/>
          <w:color w:val="auto"/>
          <w:sz w:val="24"/>
          <w:szCs w:val="24"/>
          <w:highlight w:val="none"/>
          <w:lang w:val="en-US" w:eastAsia="zh-CN"/>
        </w:rPr>
        <w:t>1638</w:t>
      </w:r>
      <w:r>
        <w:rPr>
          <w:rFonts w:hint="eastAsia" w:ascii="仿宋_GB2312" w:hAnsi="仿宋_GB2312" w:eastAsia="仿宋_GB2312" w:cs="仿宋_GB2312"/>
          <w:color w:val="auto"/>
          <w:sz w:val="24"/>
          <w:szCs w:val="24"/>
          <w:highlight w:val="none"/>
        </w:rPr>
        <w:t>学时</w:t>
      </w:r>
      <w:r>
        <w:rPr>
          <w:rFonts w:hint="eastAsia" w:ascii="仿宋_GB2312" w:hAnsi="仿宋_GB2312" w:eastAsia="仿宋_GB2312" w:cs="仿宋_GB2312"/>
          <w:color w:val="auto"/>
          <w:sz w:val="24"/>
          <w:szCs w:val="24"/>
          <w:highlight w:val="none"/>
          <w:lang w:val="en-US" w:eastAsia="zh-CN"/>
        </w:rPr>
        <w:t>91</w:t>
      </w:r>
      <w:r>
        <w:rPr>
          <w:rFonts w:hint="eastAsia" w:ascii="仿宋_GB2312" w:hAnsi="仿宋_GB2312" w:eastAsia="仿宋_GB2312" w:cs="仿宋_GB2312"/>
          <w:color w:val="auto"/>
          <w:sz w:val="24"/>
          <w:szCs w:val="24"/>
          <w:highlight w:val="none"/>
        </w:rPr>
        <w:t>学分，完成</w:t>
      </w:r>
      <w:r>
        <w:rPr>
          <w:rFonts w:hint="eastAsia" w:ascii="仿宋_GB2312" w:hAnsi="仿宋_GB2312" w:eastAsia="仿宋_GB2312" w:cs="仿宋_GB2312"/>
          <w:color w:val="auto"/>
          <w:sz w:val="24"/>
          <w:szCs w:val="24"/>
        </w:rPr>
        <w:t>规定的教学活动，达到培养规格规定的素质、知识和能力等要求，准予毕业。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2.取得本科毕业证书、全省学位外语考试合格、毕业论文（设计）良好以上，符合我校《成人高等教育学士学位授予工作实施细则》有关规定者，可授予</w:t>
      </w:r>
      <w:r>
        <w:rPr>
          <w:rFonts w:hint="eastAsia" w:ascii="仿宋_GB2312" w:hAnsi="仿宋_GB2312" w:eastAsia="仿宋_GB2312" w:cs="仿宋_GB2312"/>
          <w:color w:val="auto"/>
          <w:sz w:val="24"/>
          <w:szCs w:val="24"/>
          <w:lang w:val="en-US" w:eastAsia="zh-CN"/>
        </w:rPr>
        <w:t>经济学</w:t>
      </w:r>
      <w:r>
        <w:rPr>
          <w:rFonts w:hint="eastAsia" w:ascii="仿宋_GB2312" w:hAnsi="仿宋_GB2312" w:eastAsia="仿宋_GB2312" w:cs="仿宋_GB2312"/>
          <w:color w:val="auto"/>
          <w:sz w:val="24"/>
          <w:szCs w:val="24"/>
        </w:rPr>
        <w:t>学士学位证书。</w:t>
      </w:r>
    </w:p>
    <w:p>
      <w:pPr>
        <w:pStyle w:val="2"/>
        <w:rPr>
          <w:rFonts w:hint="eastAsia"/>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课程教学计划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本专业学生应修满的最低学分为9</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学分。其中</w:t>
      </w:r>
      <w:r>
        <w:rPr>
          <w:rFonts w:hint="eastAsia" w:ascii="仿宋_GB2312" w:hAnsi="仿宋_GB2312" w:eastAsia="仿宋_GB2312" w:cs="仿宋_GB2312"/>
          <w:sz w:val="24"/>
          <w:szCs w:val="24"/>
          <w:highlight w:val="none"/>
          <w:lang w:val="en-US" w:eastAsia="zh-CN"/>
        </w:rPr>
        <w:t>通识教育课程28</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val="en-US" w:eastAsia="zh-CN"/>
        </w:rPr>
        <w:t>学科基础课程23学分，专业基础课程26</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val="en-US" w:eastAsia="zh-CN"/>
        </w:rPr>
        <w:t>综合实践课程</w:t>
      </w:r>
      <w:r>
        <w:rPr>
          <w:rFonts w:hint="eastAsia" w:ascii="仿宋_GB2312" w:hAnsi="仿宋_GB2312" w:eastAsia="仿宋_GB2312" w:cs="仿宋_GB2312"/>
          <w:sz w:val="24"/>
          <w:szCs w:val="24"/>
          <w:highlight w:val="none"/>
        </w:rPr>
        <w:t>1</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学分。所有修读课程均须通过考核，考核及格以上者方能取得相应学分。</w:t>
      </w:r>
    </w:p>
    <w:p>
      <w:pPr>
        <w:pStyle w:val="2"/>
        <w:rPr>
          <w:rFonts w:hint="eastAsia" w:ascii="仿宋_GB2312" w:hAnsi="仿宋_GB2312" w:eastAsia="仿宋_GB2312" w:cs="仿宋_GB2312"/>
          <w:sz w:val="24"/>
          <w:szCs w:val="24"/>
          <w:highlight w:val="none"/>
        </w:rPr>
      </w:pPr>
    </w:p>
    <w:p>
      <w:pPr>
        <w:pageBreakBefore w:val="0"/>
        <w:kinsoku/>
        <w:wordWrap/>
        <w:overflowPunct/>
        <w:topLinePunct w:val="0"/>
        <w:autoSpaceDE/>
        <w:autoSpaceDN/>
        <w:bidi w:val="0"/>
        <w:adjustRightInd/>
        <w:snapToGrid/>
        <w:spacing w:line="500" w:lineRule="exact"/>
        <w:ind w:left="0"/>
        <w:jc w:val="center"/>
        <w:rPr>
          <w:rFonts w:hint="eastAsia" w:ascii="黑体" w:hAnsi="黑体" w:eastAsia="黑体" w:cs="黑体"/>
          <w:b/>
          <w:bCs/>
          <w:kern w:val="0"/>
          <w:sz w:val="24"/>
          <w:szCs w:val="24"/>
          <w:highlight w:val="none"/>
        </w:rPr>
      </w:pPr>
      <w:r>
        <w:rPr>
          <w:rFonts w:hint="eastAsia" w:ascii="黑体" w:hAnsi="黑体" w:eastAsia="黑体" w:cs="黑体"/>
          <w:b/>
          <w:bCs/>
          <w:kern w:val="0"/>
          <w:sz w:val="24"/>
          <w:szCs w:val="24"/>
          <w:highlight w:val="none"/>
          <w:lang w:val="en-US" w:eastAsia="zh-CN"/>
        </w:rPr>
        <w:t>表四：金融工程</w:t>
      </w:r>
      <w:r>
        <w:rPr>
          <w:rFonts w:hint="eastAsia" w:ascii="黑体" w:hAnsi="黑体" w:eastAsia="黑体" w:cs="黑体"/>
          <w:b/>
          <w:bCs/>
          <w:kern w:val="0"/>
          <w:sz w:val="24"/>
          <w:szCs w:val="24"/>
          <w:highlight w:val="none"/>
        </w:rPr>
        <w:t>专业</w:t>
      </w:r>
      <w:r>
        <w:rPr>
          <w:rFonts w:hint="eastAsia" w:ascii="黑体" w:hAnsi="黑体" w:eastAsia="黑体" w:cs="黑体"/>
          <w:b/>
          <w:bCs/>
          <w:kern w:val="0"/>
          <w:sz w:val="24"/>
          <w:szCs w:val="24"/>
          <w:highlight w:val="none"/>
          <w:lang w:val="en-US" w:eastAsia="zh-CN"/>
        </w:rPr>
        <w:t>成人高等教育（专升本）毕业生应修学分参考</w:t>
      </w:r>
      <w:r>
        <w:rPr>
          <w:rFonts w:hint="eastAsia" w:ascii="黑体" w:hAnsi="黑体" w:eastAsia="黑体" w:cs="黑体"/>
          <w:b/>
          <w:bCs/>
          <w:kern w:val="0"/>
          <w:sz w:val="24"/>
          <w:szCs w:val="24"/>
          <w:highlight w:val="none"/>
        </w:rPr>
        <w:t>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6"/>
        <w:gridCol w:w="991"/>
        <w:gridCol w:w="903"/>
        <w:gridCol w:w="1230"/>
        <w:gridCol w:w="1230"/>
        <w:gridCol w:w="1230"/>
        <w:gridCol w:w="123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课程类别</w:t>
            </w:r>
          </w:p>
        </w:tc>
        <w:tc>
          <w:tcPr>
            <w:tcW w:w="503"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课程</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性质</w:t>
            </w:r>
          </w:p>
        </w:tc>
        <w:tc>
          <w:tcPr>
            <w:tcW w:w="45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rPr>
            </w:pPr>
            <w:r>
              <w:rPr>
                <w:rFonts w:hint="eastAsia" w:ascii="仿宋_GB2312" w:hAnsi="仿宋_GB2312" w:eastAsia="仿宋_GB2312" w:cs="仿宋_GB2312"/>
                <w:b/>
                <w:bCs/>
                <w:sz w:val="21"/>
                <w:szCs w:val="21"/>
                <w:vertAlign w:val="baseline"/>
                <w:lang w:val="en-US" w:eastAsia="zh-CN"/>
              </w:rPr>
              <w:t>学分数</w:t>
            </w:r>
          </w:p>
        </w:tc>
        <w:tc>
          <w:tcPr>
            <w:tcW w:w="3125" w:type="pct"/>
            <w:gridSpan w:val="5"/>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各学期应修学分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50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45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一</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二</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三</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四</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通识教育课程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10.5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11.5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3.5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0.5</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选修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学科基础课程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23</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8</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专业课程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18</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综合实践课程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合计</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19.5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19.5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18.5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22.5</w:t>
            </w:r>
            <w:r>
              <w:rPr>
                <w:rFonts w:hint="default" w:ascii="仿宋_GB2312" w:hAnsi="仿宋_GB2312" w:eastAsia="仿宋_GB2312" w:cs="仿宋_GB2312"/>
                <w:sz w:val="21"/>
                <w:szCs w:val="21"/>
                <w:vertAlign w:val="baseline"/>
              </w:rPr>
              <w:fldChar w:fldCharType="end"/>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11</w:t>
            </w:r>
            <w:r>
              <w:rPr>
                <w:rFonts w:hint="eastAsia" w:ascii="仿宋_GB2312" w:hAnsi="仿宋_GB2312" w:eastAsia="仿宋_GB2312" w:cs="仿宋_GB2312"/>
                <w:sz w:val="21"/>
                <w:szCs w:val="21"/>
                <w:vertAlign w:val="baseli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占总学分百分比（%）</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100</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21.4</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21.4</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20.3</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24.7</w:t>
            </w:r>
          </w:p>
        </w:tc>
        <w:tc>
          <w:tcPr>
            <w:tcW w:w="124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12.1</w:t>
            </w:r>
          </w:p>
        </w:tc>
      </w:tr>
    </w:tbl>
    <w:p>
      <w:pPr>
        <w:pStyle w:val="2"/>
        <w:ind w:left="0" w:leftChars="0" w:firstLine="0" w:firstLineChars="0"/>
        <w:rPr>
          <w:rFonts w:hint="eastAsia" w:ascii="仿宋_GB2312" w:hAnsi="仿宋_GB2312" w:eastAsia="仿宋_GB2312" w:cs="仿宋_GB2312"/>
          <w:sz w:val="24"/>
          <w:szCs w:val="24"/>
          <w:highlight w:val="none"/>
        </w:rPr>
      </w:pPr>
    </w:p>
    <w:p>
      <w:pPr>
        <w:rPr>
          <w:rFonts w:hint="eastAsia" w:ascii="黑体" w:hAnsi="黑体" w:eastAsia="黑体" w:cs="黑体"/>
          <w:b/>
          <w:bCs/>
          <w:kern w:val="0"/>
          <w:sz w:val="24"/>
          <w:szCs w:val="24"/>
          <w:highlight w:val="none"/>
          <w:lang w:val="en-US" w:eastAsia="zh-CN"/>
        </w:rPr>
      </w:pPr>
      <w:r>
        <w:rPr>
          <w:rFonts w:hint="eastAsia" w:ascii="黑体" w:hAnsi="黑体" w:eastAsia="黑体" w:cs="黑体"/>
          <w:b/>
          <w:bCs/>
          <w:kern w:val="0"/>
          <w:sz w:val="24"/>
          <w:szCs w:val="24"/>
          <w:highlight w:val="none"/>
          <w:lang w:val="en-US" w:eastAsia="zh-CN"/>
        </w:rPr>
        <w:br w:type="page"/>
      </w:r>
    </w:p>
    <w:p>
      <w:pPr>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4"/>
          <w:szCs w:val="24"/>
          <w:highlight w:val="none"/>
        </w:rPr>
      </w:pPr>
      <w:r>
        <w:rPr>
          <w:rFonts w:hint="eastAsia" w:ascii="黑体" w:hAnsi="黑体" w:eastAsia="黑体" w:cs="黑体"/>
          <w:b/>
          <w:bCs/>
          <w:kern w:val="0"/>
          <w:sz w:val="24"/>
          <w:szCs w:val="24"/>
          <w:highlight w:val="none"/>
          <w:lang w:val="en-US" w:eastAsia="zh-CN"/>
        </w:rPr>
        <w:t>表五：金融工程</w:t>
      </w:r>
      <w:r>
        <w:rPr>
          <w:rFonts w:hint="eastAsia" w:ascii="黑体" w:hAnsi="黑体" w:eastAsia="黑体" w:cs="黑体"/>
          <w:b/>
          <w:bCs/>
          <w:kern w:val="0"/>
          <w:sz w:val="24"/>
          <w:szCs w:val="24"/>
          <w:highlight w:val="none"/>
        </w:rPr>
        <w:t>专业教学进程安排表</w:t>
      </w:r>
    </w:p>
    <w:tbl>
      <w:tblPr>
        <w:tblStyle w:val="13"/>
        <w:tblpPr w:leftFromText="180" w:rightFromText="180" w:vertAnchor="text" w:horzAnchor="page" w:tblpXSpec="center" w:tblpY="127"/>
        <w:tblOverlap w:val="never"/>
        <w:tblW w:w="10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05"/>
        <w:gridCol w:w="414"/>
        <w:gridCol w:w="414"/>
        <w:gridCol w:w="972"/>
        <w:gridCol w:w="3070"/>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类</w:t>
            </w:r>
          </w:p>
          <w:p>
            <w:pPr>
              <w:jc w:val="center"/>
              <w:rPr>
                <w:rFonts w:hint="eastAsia" w:ascii="宋体" w:hAnsi="宋体" w:eastAsia="宋体" w:cs="宋体"/>
                <w:b/>
                <w:bCs/>
                <w:sz w:val="18"/>
                <w:szCs w:val="18"/>
              </w:rPr>
            </w:pPr>
            <w:r>
              <w:rPr>
                <w:rFonts w:hint="eastAsia" w:ascii="宋体" w:hAnsi="宋体" w:eastAsia="宋体" w:cs="宋体"/>
                <w:b/>
                <w:bCs/>
                <w:sz w:val="18"/>
                <w:szCs w:val="18"/>
              </w:rPr>
              <w:t>别</w:t>
            </w:r>
          </w:p>
        </w:tc>
        <w:tc>
          <w:tcPr>
            <w:tcW w:w="414" w:type="dxa"/>
            <w:vMerge w:val="restart"/>
            <w:tcBorders>
              <w:tl2br w:val="nil"/>
              <w:tr2bl w:val="nil"/>
            </w:tcBorders>
            <w:vAlign w:val="center"/>
          </w:tcPr>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课</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程</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性</w:t>
            </w:r>
          </w:p>
          <w:p>
            <w:pPr>
              <w:jc w:val="center"/>
              <w:rPr>
                <w:rFonts w:hint="default" w:ascii="宋体" w:hAnsi="宋体" w:eastAsia="宋体" w:cs="宋体"/>
                <w:b/>
                <w:bCs/>
                <w:sz w:val="18"/>
                <w:szCs w:val="18"/>
                <w:lang w:val="en-US" w:eastAsia="zh-CN"/>
              </w:rPr>
            </w:pPr>
            <w:r>
              <w:rPr>
                <w:rFonts w:hint="eastAsia" w:ascii="宋体" w:hAnsi="宋体" w:cs="宋体"/>
                <w:b/>
                <w:bCs/>
                <w:sz w:val="18"/>
                <w:szCs w:val="18"/>
                <w:lang w:val="en-US" w:eastAsia="zh-CN"/>
              </w:rPr>
              <w:t>质</w:t>
            </w:r>
          </w:p>
        </w:tc>
        <w:tc>
          <w:tcPr>
            <w:tcW w:w="41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序</w:t>
            </w:r>
          </w:p>
          <w:p>
            <w:pPr>
              <w:jc w:val="center"/>
              <w:rPr>
                <w:rFonts w:hint="eastAsia" w:ascii="宋体" w:hAnsi="宋体" w:eastAsia="宋体" w:cs="宋体"/>
                <w:b/>
                <w:bCs/>
                <w:sz w:val="18"/>
                <w:szCs w:val="18"/>
              </w:rPr>
            </w:pPr>
            <w:r>
              <w:rPr>
                <w:rFonts w:hint="eastAsia" w:ascii="宋体" w:hAnsi="宋体" w:eastAsia="宋体" w:cs="宋体"/>
                <w:b/>
                <w:bCs/>
                <w:sz w:val="18"/>
                <w:szCs w:val="18"/>
              </w:rPr>
              <w:t>号</w:t>
            </w:r>
          </w:p>
        </w:tc>
        <w:tc>
          <w:tcPr>
            <w:tcW w:w="972"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课程</w:t>
            </w:r>
          </w:p>
          <w:p>
            <w:pPr>
              <w:jc w:val="center"/>
              <w:rPr>
                <w:rFonts w:hint="eastAsia" w:ascii="宋体" w:hAnsi="宋体" w:eastAsia="宋体" w:cs="宋体"/>
                <w:b/>
                <w:bCs/>
                <w:sz w:val="18"/>
                <w:szCs w:val="18"/>
              </w:rPr>
            </w:pPr>
            <w:r>
              <w:rPr>
                <w:rFonts w:hint="eastAsia" w:ascii="宋体" w:hAnsi="宋体" w:eastAsia="宋体" w:cs="宋体"/>
                <w:b/>
                <w:bCs/>
                <w:sz w:val="18"/>
                <w:szCs w:val="18"/>
              </w:rPr>
              <w:t>代码</w:t>
            </w:r>
          </w:p>
        </w:tc>
        <w:tc>
          <w:tcPr>
            <w:tcW w:w="3070"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总</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p>
            <w:pPr>
              <w:jc w:val="center"/>
              <w:rPr>
                <w:rFonts w:hint="eastAsia"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上</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下</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验</w:t>
            </w:r>
          </w:p>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过</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w:t>
            </w:r>
          </w:p>
          <w:p>
            <w:pPr>
              <w:jc w:val="center"/>
              <w:rPr>
                <w:rFonts w:hint="eastAsia"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终结性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闭卷</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开卷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eastAsia="宋体" w:cs="宋体"/>
                <w:sz w:val="18"/>
                <w:szCs w:val="18"/>
              </w:rPr>
            </w:pPr>
            <w:bookmarkStart w:id="0" w:name="_Hlk263065686"/>
            <w:r>
              <w:rPr>
                <w:rFonts w:hint="eastAsia" w:ascii="宋体" w:hAnsi="宋体" w:eastAsia="宋体" w:cs="宋体"/>
                <w:sz w:val="18"/>
                <w:szCs w:val="18"/>
              </w:rPr>
              <w:t>通</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识</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教</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育</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课</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程</w:t>
            </w:r>
          </w:p>
        </w:tc>
        <w:tc>
          <w:tcPr>
            <w:tcW w:w="414" w:type="dxa"/>
            <w:vMerge w:val="restart"/>
            <w:tcBorders>
              <w:tl2br w:val="nil"/>
              <w:tr2bl w:val="nil"/>
            </w:tcBorders>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思</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想</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政</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治</w:t>
            </w:r>
          </w:p>
          <w:p>
            <w:pPr>
              <w:spacing w:line="280" w:lineRule="exact"/>
              <w:jc w:val="center"/>
              <w:rPr>
                <w:rFonts w:hint="eastAsia" w:ascii="宋体" w:hAnsi="宋体" w:eastAsia="宋体" w:cs="宋体"/>
                <w:sz w:val="18"/>
                <w:szCs w:val="18"/>
                <w:lang w:eastAsia="zh-CN"/>
              </w:rPr>
            </w:pPr>
            <w:r>
              <w:rPr>
                <w:rFonts w:hint="eastAsia" w:ascii="宋体" w:hAnsi="宋体" w:cs="宋体"/>
                <w:sz w:val="18"/>
                <w:szCs w:val="18"/>
                <w:lang w:val="en-US" w:eastAsia="zh-CN"/>
              </w:rPr>
              <w:t>·</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必</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0299053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bookmarkEnd w:id="0"/>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中国近代史纲要</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形势与政策Ⅰ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马克思主义基本原理概论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17"/>
                <w:kern w:val="0"/>
                <w:sz w:val="18"/>
                <w:szCs w:val="18"/>
                <w:u w:val="none"/>
                <w:lang w:val="en-US" w:eastAsia="zh-CN" w:bidi="ar"/>
              </w:rPr>
              <w:t>毛泽东思想与中国特色社会主义理论体系概论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0200065</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6"/>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0200067</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形势与政策Ⅳ</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思想政治</w:t>
            </w:r>
          </w:p>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6"/>
                <w:szCs w:val="16"/>
                <w:lang w:val="en-US" w:eastAsia="zh-CN"/>
              </w:rPr>
              <w:t>限选</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党史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新中国史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改革开放史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社会主义发展史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运动与健</w:t>
            </w:r>
          </w:p>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康</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0400162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心理健康</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自然与科</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8"/>
                <w:szCs w:val="8"/>
              </w:rPr>
            </w:pPr>
            <w:r>
              <w:rPr>
                <w:rFonts w:hint="eastAsia" w:ascii="宋体" w:hAnsi="宋体" w:eastAsia="宋体" w:cs="宋体"/>
                <w:sz w:val="10"/>
                <w:szCs w:val="10"/>
              </w:rPr>
              <w:t>技</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计算机应用基础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表达</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与沟</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cs="宋体"/>
                <w:spacing w:val="0"/>
                <w:sz w:val="13"/>
                <w:szCs w:val="13"/>
                <w:lang w:val="en-US" w:eastAsia="zh-CN"/>
              </w:rPr>
            </w:pPr>
            <w:r>
              <w:rPr>
                <w:rFonts w:hint="eastAsia" w:ascii="宋体" w:hAnsi="宋体" w:eastAsia="宋体" w:cs="宋体"/>
                <w:spacing w:val="0"/>
                <w:sz w:val="13"/>
                <w:szCs w:val="13"/>
              </w:rPr>
              <w:t>通</w:t>
            </w:r>
            <w:r>
              <w:rPr>
                <w:rFonts w:hint="eastAsia" w:ascii="宋体" w:hAnsi="宋体" w:cs="宋体"/>
                <w:spacing w:val="0"/>
                <w:sz w:val="13"/>
                <w:szCs w:val="13"/>
                <w:lang w:val="en-US" w:eastAsia="zh-CN"/>
              </w:rPr>
              <w:t>·</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z w:val="13"/>
                <w:szCs w:val="13"/>
              </w:rPr>
            </w:pPr>
            <w:r>
              <w:rPr>
                <w:rFonts w:hint="eastAsia" w:ascii="宋体" w:hAnsi="宋体" w:eastAsia="宋体" w:cs="宋体"/>
                <w:spacing w:val="0"/>
                <w:sz w:val="13"/>
                <w:szCs w:val="13"/>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0599012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大学英语Ⅰ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0599022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大学英语Ⅱ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val="0"/>
                <w:bCs w:val="0"/>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学</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科</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基</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础</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0201013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微观经济学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0224003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金融学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0200082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政治经济学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0201023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宏观经济学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0220013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会计学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0202083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统计学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0224302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财政学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0202113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计量经济学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0224012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金融衍生工具</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0224063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金融工程学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0209023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证券投资学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0246113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商业银行业务与经营</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0224052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国际金融</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0224033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公司金融</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0226212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财富管理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0224052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金融计量学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0224053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金融风险管理</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0246172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金融科技学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0224282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区块链金融</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综</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合</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实</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践</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入学教育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劳动教育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0000041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0000024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毕业实习</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0521016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毕业论文（设计）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5275" w:type="dxa"/>
            <w:gridSpan w:val="5"/>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 xml:space="preserve">  合  计</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6"/>
                <w:szCs w:val="16"/>
                <w:lang w:val="en-US" w:eastAsia="zh-CN"/>
              </w:rPr>
            </w:pPr>
            <w:r>
              <w:rPr>
                <w:rFonts w:hint="eastAsia" w:ascii="宋体" w:hAnsi="宋体" w:cs="宋体"/>
                <w:sz w:val="16"/>
                <w:szCs w:val="16"/>
                <w:lang w:val="en-US" w:eastAsia="zh-CN"/>
              </w:rPr>
              <w:t>91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1638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1398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116</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232</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333</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405</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198</w:t>
            </w:r>
          </w:p>
        </w:tc>
        <w:tc>
          <w:tcPr>
            <w:tcW w:w="1147" w:type="dxa"/>
            <w:gridSpan w:val="3"/>
            <w:vMerge w:val="restart"/>
            <w:tcBorders>
              <w:tl2br w:val="nil"/>
              <w:tr2bl w:val="nil"/>
            </w:tcBorders>
            <w:vAlign w:val="center"/>
          </w:tcPr>
          <w:p>
            <w:pPr>
              <w:snapToGrid w:val="0"/>
              <w:jc w:val="center"/>
              <w:rPr>
                <w:rFonts w:hint="eastAsia" w:ascii="宋体" w:hAnsi="宋体" w:eastAsia="宋体" w:cs="宋体"/>
                <w:b/>
                <w:bCs/>
                <w:sz w:val="18"/>
                <w:szCs w:val="18"/>
              </w:rPr>
            </w:pPr>
          </w:p>
          <w:p>
            <w:pPr>
              <w:snapToGrid w:val="0"/>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6023" w:type="dxa"/>
            <w:gridSpan w:val="7"/>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百分比（%）</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78.8</w:t>
            </w:r>
            <w:bookmarkStart w:id="4" w:name="_GoBack"/>
            <w:bookmarkEnd w:id="4"/>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7.1</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14.2</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21.4</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21.4</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20.3</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24.7</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12.1</w:t>
            </w:r>
          </w:p>
        </w:tc>
        <w:tc>
          <w:tcPr>
            <w:tcW w:w="1147" w:type="dxa"/>
            <w:gridSpan w:val="3"/>
            <w:vMerge w:val="continue"/>
            <w:tcBorders>
              <w:tl2br w:val="nil"/>
              <w:tr2bl w:val="nil"/>
            </w:tcBorders>
            <w:vAlign w:val="center"/>
          </w:tcPr>
          <w:p>
            <w:pPr>
              <w:jc w:val="center"/>
              <w:rPr>
                <w:rFonts w:hint="eastAsia" w:ascii="宋体" w:hAnsi="宋体" w:eastAsia="宋体" w:cs="宋体"/>
                <w:b/>
                <w:bCs/>
                <w:sz w:val="18"/>
                <w:szCs w:val="18"/>
              </w:rPr>
            </w:pPr>
          </w:p>
        </w:tc>
      </w:tr>
    </w:tbl>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rPr>
      </w:pPr>
      <w:r>
        <w:rPr>
          <w:rFonts w:hint="eastAsia" w:ascii="宋体" w:hAnsi="宋体" w:eastAsia="宋体" w:cs="宋体"/>
        </w:rPr>
        <w:t>注释：</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rPr>
      </w:pPr>
      <w:r>
        <w:rPr>
          <w:rFonts w:hint="eastAsia" w:ascii="宋体" w:hAnsi="宋体" w:eastAsia="宋体" w:cs="宋体"/>
        </w:rPr>
        <w:t>1.专业核心课程用*表示；</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lang w:eastAsia="zh-CN"/>
        </w:rPr>
      </w:pPr>
      <w:r>
        <w:rPr>
          <w:rFonts w:hint="eastAsia" w:ascii="宋体" w:hAnsi="宋体" w:eastAsia="宋体" w:cs="宋体"/>
        </w:rPr>
        <w:t>2.每门课的考核要求见“</w:t>
      </w:r>
      <w:r>
        <w:rPr>
          <w:rFonts w:hint="eastAsia" w:ascii="宋体" w:hAnsi="宋体" w:eastAsia="宋体" w:cs="宋体"/>
          <w:lang w:val="en-US" w:eastAsia="zh-CN"/>
        </w:rPr>
        <w:t>金融工程</w:t>
      </w:r>
      <w:r>
        <w:rPr>
          <w:rFonts w:hint="eastAsia" w:ascii="宋体" w:hAnsi="宋体" w:eastAsia="宋体" w:cs="宋体"/>
        </w:rPr>
        <w:t>专业教学进程安排表”，打“√”的为该门课的考核方式</w:t>
      </w:r>
      <w:r>
        <w:rPr>
          <w:rFonts w:hint="eastAsia" w:ascii="宋体" w:hAnsi="宋体" w:eastAsia="宋体" w:cs="宋体"/>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rPr>
      </w:pPr>
      <w:r>
        <w:rPr>
          <w:rFonts w:hint="eastAsia" w:ascii="宋体" w:hAnsi="宋体" w:eastAsia="宋体" w:cs="宋体"/>
          <w:lang w:val="en-US" w:eastAsia="zh-CN"/>
        </w:rPr>
        <w:t>3.思想政治·限选四史类必修课2学分：党史、新中国史、改革开放史、社会主义发展史。</w:t>
      </w:r>
      <w:r>
        <w:rPr>
          <w:rFonts w:hint="eastAsia" w:ascii="仿宋_GB2312" w:hAnsi="仿宋_GB2312" w:eastAsia="仿宋_GB2312" w:cs="仿宋_GB2312"/>
          <w:b/>
          <w:bCs/>
          <w:sz w:val="24"/>
          <w:szCs w:val="24"/>
          <w:highlight w:val="none"/>
        </w:rPr>
        <w:br w:type="page"/>
      </w:r>
    </w:p>
    <w:p>
      <w:pPr>
        <w:pStyle w:val="3"/>
        <w:pageBreakBefore w:val="0"/>
        <w:numPr>
          <w:ilvl w:val="0"/>
          <w:numId w:val="1"/>
        </w:numPr>
        <w:kinsoku/>
        <w:wordWrap/>
        <w:overflowPunct/>
        <w:topLinePunct w:val="0"/>
        <w:autoSpaceDE/>
        <w:autoSpaceDN/>
        <w:bidi w:val="0"/>
        <w:adjustRightInd/>
        <w:snapToGrid w:val="0"/>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实施保障</w:t>
      </w:r>
    </w:p>
    <w:p>
      <w:pPr>
        <w:pStyle w:val="3"/>
        <w:pageBreakBefore w:val="0"/>
        <w:numPr>
          <w:ilvl w:val="0"/>
          <w:numId w:val="4"/>
        </w:numPr>
        <w:kinsoku/>
        <w:wordWrap/>
        <w:overflowPunct/>
        <w:topLinePunct w:val="0"/>
        <w:autoSpaceDE/>
        <w:autoSpaceDN/>
        <w:bidi w:val="0"/>
        <w:adjustRightInd/>
        <w:snapToGrid w:val="0"/>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教材选用</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lang w:val="en-US" w:eastAsia="zh-CN"/>
        </w:rPr>
        <w:t>本专业</w:t>
      </w:r>
      <w:r>
        <w:rPr>
          <w:rFonts w:hint="eastAsia" w:ascii="仿宋_GB2312" w:hAnsi="仿宋_GB2312" w:eastAsia="仿宋_GB2312" w:cs="仿宋_GB2312"/>
          <w:bCs/>
          <w:color w:val="auto"/>
          <w:sz w:val="24"/>
          <w:szCs w:val="24"/>
        </w:rPr>
        <w:t>教材的选用遵循科学性、先进性、适用性原则。选用的教材符合本专业人才培养目标及课程教学的要求，符合人才培养规律，教学目标明确，取材合适，富有启发性，有利于学生创新能力的培养。未经审核的教材不</w:t>
      </w:r>
      <w:r>
        <w:rPr>
          <w:rFonts w:hint="eastAsia" w:ascii="仿宋_GB2312" w:hAnsi="仿宋_GB2312" w:eastAsia="仿宋_GB2312" w:cs="仿宋_GB2312"/>
          <w:bCs/>
          <w:color w:val="auto"/>
          <w:sz w:val="24"/>
          <w:szCs w:val="24"/>
          <w:lang w:val="en-US" w:eastAsia="zh-CN"/>
        </w:rPr>
        <w:t>会</w:t>
      </w:r>
      <w:r>
        <w:rPr>
          <w:rFonts w:hint="eastAsia" w:ascii="仿宋_GB2312" w:hAnsi="仿宋_GB2312" w:eastAsia="仿宋_GB2312" w:cs="仿宋_GB2312"/>
          <w:bCs/>
          <w:color w:val="auto"/>
          <w:sz w:val="24"/>
          <w:szCs w:val="24"/>
        </w:rPr>
        <w:t>采购使用并进入课堂，任课教师不</w:t>
      </w:r>
      <w:r>
        <w:rPr>
          <w:rFonts w:hint="eastAsia" w:ascii="仿宋_GB2312" w:hAnsi="仿宋_GB2312" w:eastAsia="仿宋_GB2312" w:cs="仿宋_GB2312"/>
          <w:bCs/>
          <w:color w:val="auto"/>
          <w:sz w:val="24"/>
          <w:szCs w:val="24"/>
          <w:lang w:val="en-US" w:eastAsia="zh-CN"/>
        </w:rPr>
        <w:t>会</w:t>
      </w:r>
      <w:r>
        <w:rPr>
          <w:rFonts w:hint="eastAsia" w:ascii="仿宋_GB2312" w:hAnsi="仿宋_GB2312" w:eastAsia="仿宋_GB2312" w:cs="仿宋_GB2312"/>
          <w:bCs/>
          <w:color w:val="auto"/>
          <w:sz w:val="24"/>
          <w:szCs w:val="24"/>
        </w:rPr>
        <w:t>强行要求学生购买教材及以外的其他读物进入课堂。</w:t>
      </w:r>
    </w:p>
    <w:p>
      <w:pPr>
        <w:pageBreakBefore w:val="0"/>
        <w:widowControl/>
        <w:kinsoku/>
        <w:wordWrap/>
        <w:overflowPunct/>
        <w:topLinePunct w:val="0"/>
        <w:autoSpaceDE/>
        <w:autoSpaceDN/>
        <w:bidi w:val="0"/>
        <w:adjustRightInd/>
        <w:snapToGrid w:val="0"/>
        <w:spacing w:line="500" w:lineRule="exact"/>
        <w:ind w:firstLine="480" w:firstLineChars="200"/>
        <w:jc w:val="left"/>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bCs/>
          <w:color w:val="auto"/>
          <w:sz w:val="24"/>
          <w:szCs w:val="24"/>
        </w:rPr>
        <w:t>为保证教学质量，</w:t>
      </w:r>
      <w:r>
        <w:rPr>
          <w:rFonts w:hint="eastAsia" w:ascii="仿宋_GB2312" w:hAnsi="仿宋_GB2312" w:eastAsia="仿宋_GB2312" w:cs="仿宋_GB2312"/>
          <w:bCs/>
          <w:color w:val="auto"/>
          <w:sz w:val="24"/>
          <w:szCs w:val="24"/>
          <w:lang w:val="en-US" w:eastAsia="zh-CN"/>
        </w:rPr>
        <w:t>本</w:t>
      </w:r>
      <w:r>
        <w:rPr>
          <w:rFonts w:hint="eastAsia" w:ascii="仿宋_GB2312" w:hAnsi="仿宋_GB2312" w:eastAsia="仿宋_GB2312" w:cs="仿宋_GB2312"/>
          <w:bCs/>
          <w:color w:val="auto"/>
          <w:sz w:val="24"/>
          <w:szCs w:val="24"/>
        </w:rPr>
        <w:t>专业</w:t>
      </w:r>
      <w:r>
        <w:rPr>
          <w:rFonts w:hint="eastAsia" w:ascii="仿宋_GB2312" w:hAnsi="仿宋_GB2312" w:eastAsia="仿宋_GB2312" w:cs="仿宋_GB2312"/>
          <w:bCs/>
          <w:color w:val="auto"/>
          <w:sz w:val="24"/>
          <w:szCs w:val="24"/>
          <w:lang w:val="en-US" w:eastAsia="zh-CN"/>
        </w:rPr>
        <w:t>会根据</w:t>
      </w:r>
      <w:r>
        <w:rPr>
          <w:rFonts w:hint="eastAsia" w:ascii="仿宋_GB2312" w:hAnsi="仿宋_GB2312" w:eastAsia="仿宋_GB2312" w:cs="仿宋_GB2312"/>
          <w:bCs/>
          <w:color w:val="auto"/>
          <w:sz w:val="24"/>
          <w:szCs w:val="24"/>
        </w:rPr>
        <w:t>教学开课计划，优先选用“面向21世纪课程教材”、国家级规划教材、国家教学指导委员会推荐教材、近3年出版的新教材等；教材征订程序要严格按照学院要求进行，经办教师、教研室主任、专业负责人、教学秘书、院系主任要层层把关，确保无漏订和错订、教材质量和水平能够满足教师课程教学和学生自学双重需要，优秀教材选用的数量和比例逐年增加。</w:t>
      </w:r>
    </w:p>
    <w:p>
      <w:pPr>
        <w:pStyle w:val="3"/>
        <w:pageBreakBefore w:val="0"/>
        <w:numPr>
          <w:ilvl w:val="0"/>
          <w:numId w:val="4"/>
        </w:numPr>
        <w:kinsoku/>
        <w:wordWrap/>
        <w:overflowPunct/>
        <w:topLinePunct w:val="0"/>
        <w:autoSpaceDE/>
        <w:autoSpaceDN/>
        <w:bidi w:val="0"/>
        <w:adjustRightInd/>
        <w:snapToGrid w:val="0"/>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师资队伍</w:t>
      </w:r>
    </w:p>
    <w:p>
      <w:pPr>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bCs/>
          <w:color w:val="auto"/>
          <w:sz w:val="24"/>
          <w:szCs w:val="24"/>
          <w:lang w:val="en-US" w:eastAsia="zh-CN"/>
        </w:rPr>
        <w:t>广州华商学院</w:t>
      </w:r>
      <w:r>
        <w:rPr>
          <w:rFonts w:hint="eastAsia" w:ascii="仿宋_GB2312" w:hAnsi="仿宋_GB2312" w:eastAsia="仿宋_GB2312" w:cs="仿宋_GB2312"/>
          <w:bCs/>
          <w:color w:val="auto"/>
          <w:sz w:val="24"/>
          <w:szCs w:val="24"/>
        </w:rPr>
        <w:t xml:space="preserve">金融学院现有专业教师87人，其中有教授 2人、副教授 （或相当专业技术职务者）1人，讲师6人。有硕士学位的教师11人，有博士学位的教师2人，有硕士及以上学位教师的比例为100%。 </w:t>
      </w:r>
    </w:p>
    <w:p>
      <w:pPr>
        <w:pStyle w:val="3"/>
        <w:pageBreakBefore w:val="0"/>
        <w:numPr>
          <w:ilvl w:val="0"/>
          <w:numId w:val="4"/>
        </w:numPr>
        <w:kinsoku/>
        <w:wordWrap/>
        <w:overflowPunct/>
        <w:topLinePunct w:val="0"/>
        <w:autoSpaceDE/>
        <w:autoSpaceDN/>
        <w:bidi w:val="0"/>
        <w:adjustRightInd/>
        <w:snapToGrid w:val="0"/>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教学及实验实训条件</w:t>
      </w:r>
    </w:p>
    <w:p>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bCs/>
          <w:color w:val="auto"/>
          <w:sz w:val="24"/>
          <w:szCs w:val="24"/>
        </w:rPr>
      </w:pPr>
      <w:r>
        <w:rPr>
          <w:rFonts w:hint="eastAsia" w:ascii="仿宋_GB2312" w:hAnsi="仿宋_GB2312" w:eastAsia="仿宋_GB2312" w:cs="仿宋_GB2312"/>
          <w:bCs/>
          <w:color w:val="auto"/>
          <w:sz w:val="24"/>
          <w:szCs w:val="24"/>
        </w:rPr>
        <w:t>金融工程专业经过近八年的发展，大力加强教学工作、切实提高教育教学质量为中心，以改革人才培养模式、教学内容、课程体系、教学方法和手段为重点，提高教学水平，提高人才培养质量，</w:t>
      </w:r>
      <w:r>
        <w:rPr>
          <w:rFonts w:hint="eastAsia" w:ascii="仿宋_GB2312" w:hAnsi="仿宋_GB2312" w:eastAsia="仿宋_GB2312" w:cs="仿宋_GB2312"/>
          <w:bCs/>
          <w:color w:val="auto"/>
          <w:sz w:val="24"/>
          <w:szCs w:val="24"/>
          <w:lang w:val="en-US" w:eastAsia="zh-CN"/>
        </w:rPr>
        <w:t>成效明显。本专业</w:t>
      </w:r>
      <w:r>
        <w:rPr>
          <w:rFonts w:hint="eastAsia" w:ascii="仿宋_GB2312" w:hAnsi="仿宋_GB2312" w:eastAsia="仿宋_GB2312" w:cs="仿宋_GB2312"/>
          <w:bCs/>
          <w:color w:val="auto"/>
          <w:sz w:val="24"/>
          <w:szCs w:val="24"/>
        </w:rPr>
        <w:t>于2015年被列为校级质量工程“专业建设及改革试点”项目（并于2019年顺利通过结项验收），于2020被列为校级一流本科专业建设点，于2021年被列为校级课程思政试点专业建设点，标志着我院办学甚短的专业建设取得了突破性成果，专业发展达到一定水平。</w:t>
      </w:r>
    </w:p>
    <w:p>
      <w:pPr>
        <w:pStyle w:val="2"/>
        <w:pageBreakBefore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kern w:val="2"/>
          <w:sz w:val="24"/>
          <w:szCs w:val="24"/>
          <w:highlight w:val="none"/>
          <w:u w:val="none"/>
        </w:rPr>
      </w:pPr>
      <w:r>
        <w:rPr>
          <w:rFonts w:hint="eastAsia" w:ascii="仿宋_GB2312" w:hAnsi="仿宋_GB2312" w:eastAsia="仿宋_GB2312" w:cs="仿宋_GB2312"/>
          <w:bCs/>
          <w:color w:val="auto"/>
          <w:sz w:val="24"/>
          <w:szCs w:val="24"/>
          <w:lang w:val="en-US" w:eastAsia="zh-CN"/>
        </w:rPr>
        <w:t>广州</w:t>
      </w:r>
      <w:r>
        <w:rPr>
          <w:rFonts w:hint="eastAsia" w:ascii="仿宋_GB2312" w:hAnsi="仿宋_GB2312" w:eastAsia="仿宋_GB2312" w:cs="仿宋_GB2312"/>
          <w:bCs/>
          <w:color w:val="auto"/>
          <w:sz w:val="24"/>
          <w:szCs w:val="24"/>
        </w:rPr>
        <w:t>华商学院</w:t>
      </w:r>
      <w:r>
        <w:rPr>
          <w:rFonts w:hint="eastAsia" w:ascii="仿宋_GB2312" w:hAnsi="仿宋_GB2312" w:eastAsia="仿宋_GB2312" w:cs="仿宋_GB2312"/>
          <w:bCs/>
          <w:color w:val="auto"/>
          <w:sz w:val="24"/>
          <w:szCs w:val="24"/>
          <w:lang w:val="en-US" w:eastAsia="zh-CN"/>
        </w:rPr>
        <w:t>金融学院</w:t>
      </w:r>
      <w:r>
        <w:rPr>
          <w:rFonts w:hint="eastAsia" w:ascii="仿宋_GB2312" w:hAnsi="仿宋_GB2312" w:eastAsia="仿宋_GB2312" w:cs="仿宋_GB2312"/>
          <w:bCs/>
          <w:color w:val="auto"/>
          <w:sz w:val="24"/>
          <w:szCs w:val="24"/>
          <w:lang w:eastAsia="zh-CN"/>
        </w:rPr>
        <w:t>已</w:t>
      </w:r>
      <w:r>
        <w:rPr>
          <w:rFonts w:hint="eastAsia" w:ascii="仿宋_GB2312" w:hAnsi="仿宋_GB2312" w:eastAsia="仿宋_GB2312" w:cs="仿宋_GB2312"/>
          <w:bCs/>
          <w:color w:val="auto"/>
          <w:sz w:val="24"/>
          <w:szCs w:val="24"/>
        </w:rPr>
        <w:t>建成高标准、高水平、独具特色的多媒体教室、经管学科跨专业综合仿真实习、云计算、云桌面平台</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rPr>
        <w:t>以及大传播实验教学平台。</w:t>
      </w:r>
      <w:r>
        <w:rPr>
          <w:rFonts w:hint="eastAsia" w:ascii="仿宋_GB2312" w:hAnsi="仿宋_GB2312" w:eastAsia="仿宋_GB2312" w:cs="仿宋_GB2312"/>
          <w:bCs/>
          <w:color w:val="auto"/>
          <w:sz w:val="24"/>
          <w:szCs w:val="24"/>
          <w:lang w:val="en-US" w:eastAsia="zh-CN"/>
        </w:rPr>
        <w:t>采购了金融大数据风险管理教学软件、金融量化投资教学系统、金融大数据与人工智能应用系统、跨专业智能金融全景仿真演练平台等软件。</w:t>
      </w:r>
      <w:r>
        <w:rPr>
          <w:rFonts w:hint="eastAsia" w:ascii="仿宋_GB2312" w:hAnsi="仿宋_GB2312" w:eastAsia="仿宋_GB2312" w:cs="仿宋_GB2312"/>
          <w:bCs/>
          <w:color w:val="auto"/>
          <w:sz w:val="24"/>
          <w:szCs w:val="24"/>
        </w:rPr>
        <w:t>中心现有金融学科类实验教学场地750平方米，拥有虚拟云平台、大型网络存储服务器、数字终端机等设备385台，总资产约750万元。中心分设金融科技创新实验室、金融风险管理实验室、投资理财（仿真交易）实验室和金融产业学院实践室，还有金融行业岗位校内实践基地、金融创新创业孵化基地等实习、实训基地，形成金融专业基础、专业综合、实训体验和创业孵化等四个实践（实验实训）平台，为学生的各项创新创业、社会实践活动和教师的教学科研工作提供服务；为社会提供金融咨询与培训类服务，促进华商金融产业学院的发展；其中</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rPr>
        <w:t xml:space="preserve">跨专业综合仿真平台被广东省教育厅纳入省质量工程实验教学示范中心立项建设项目。 </w:t>
      </w:r>
    </w:p>
    <w:p>
      <w:pPr>
        <w:pStyle w:val="3"/>
        <w:pageBreakBefore w:val="0"/>
        <w:numPr>
          <w:ilvl w:val="0"/>
          <w:numId w:val="4"/>
        </w:numPr>
        <w:kinsoku/>
        <w:wordWrap/>
        <w:overflowPunct/>
        <w:topLinePunct w:val="0"/>
        <w:autoSpaceDE/>
        <w:autoSpaceDN/>
        <w:bidi w:val="0"/>
        <w:adjustRightInd/>
        <w:snapToGrid w:val="0"/>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现有教学资源（含数字化资源）</w:t>
      </w:r>
    </w:p>
    <w:p>
      <w:pPr>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bCs/>
          <w:color w:val="auto"/>
          <w:sz w:val="24"/>
          <w:szCs w:val="24"/>
        </w:rPr>
        <w:t>华商学院图书馆总馆藏量达 258万册</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rPr>
        <w:t>其中中文图</w:t>
      </w:r>
      <w:r>
        <w:rPr>
          <w:rFonts w:hint="eastAsia" w:ascii="仿宋_GB2312" w:hAnsi="仿宋_GB2312" w:eastAsia="仿宋_GB2312" w:cs="仿宋_GB2312"/>
          <w:bCs/>
          <w:color w:val="auto"/>
          <w:sz w:val="24"/>
          <w:szCs w:val="24"/>
          <w:lang w:val="en-US" w:eastAsia="zh-CN"/>
        </w:rPr>
        <w:t>书247.2660</w:t>
      </w:r>
      <w:r>
        <w:rPr>
          <w:rFonts w:hint="eastAsia" w:ascii="仿宋_GB2312" w:hAnsi="仿宋_GB2312" w:eastAsia="仿宋_GB2312" w:cs="仿宋_GB2312"/>
          <w:bCs/>
          <w:color w:val="auto"/>
          <w:sz w:val="24"/>
          <w:szCs w:val="24"/>
        </w:rPr>
        <w:t xml:space="preserve">万册、外文图书4,5801万册、期刊合订本 2.2878万册；订有现刊 830种 </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rPr>
        <w:t xml:space="preserve">其中期刊 759种 </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rPr>
        <w:t>含外文期刊 24种</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rPr>
        <w:t>，报纸 71种</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rPr>
        <w:t>含外文报纸 3种</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rPr>
        <w:t>；购买超星数字图书馆电子图书 31万种</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rPr>
        <w:t>清华同方中国知网七个专辑和中国财经教育资源共享平台，清华同方中国知网 (CNKI</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rPr>
        <w:t>七个专辑具体其中 包含中国学术期刊论文、重要会议论文、博硕士论文、重要报纸全文等约5700多万篇</w:t>
      </w:r>
      <w:r>
        <w:rPr>
          <w:rFonts w:hint="eastAsia" w:ascii="仿宋_GB2312" w:hAnsi="仿宋_GB2312" w:eastAsia="仿宋_GB2312" w:cs="仿宋_GB2312"/>
          <w:bCs/>
          <w:color w:val="auto"/>
          <w:sz w:val="24"/>
          <w:szCs w:val="24"/>
          <w:lang w:eastAsia="zh-CN"/>
        </w:rPr>
        <w:t>，</w:t>
      </w:r>
      <w:r>
        <w:rPr>
          <w:rFonts w:hint="eastAsia" w:ascii="仿宋_GB2312" w:hAnsi="仿宋_GB2312" w:eastAsia="仿宋_GB2312" w:cs="仿宋_GB2312"/>
          <w:bCs/>
          <w:color w:val="auto"/>
          <w:sz w:val="24"/>
          <w:szCs w:val="24"/>
        </w:rPr>
        <w:t>基本上涵盖了我校所设各个专业所需的文献资料。</w:t>
      </w:r>
    </w:p>
    <w:p>
      <w:pPr>
        <w:pStyle w:val="3"/>
        <w:pageBreakBefore w:val="0"/>
        <w:numPr>
          <w:ilvl w:val="0"/>
          <w:numId w:val="4"/>
        </w:numPr>
        <w:kinsoku/>
        <w:wordWrap/>
        <w:overflowPunct/>
        <w:topLinePunct w:val="0"/>
        <w:autoSpaceDE/>
        <w:autoSpaceDN/>
        <w:bidi w:val="0"/>
        <w:adjustRightInd/>
        <w:snapToGrid w:val="0"/>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质量管理</w:t>
      </w:r>
    </w:p>
    <w:p>
      <w:pPr>
        <w:pStyle w:val="2"/>
        <w:pageBreakBefore w:val="0"/>
        <w:kinsoku/>
        <w:wordWrap/>
        <w:overflowPunct/>
        <w:topLinePunct w:val="0"/>
        <w:autoSpaceDE/>
        <w:autoSpaceDN/>
        <w:bidi w:val="0"/>
        <w:adjustRightInd/>
        <w:snapToGrid w:val="0"/>
        <w:spacing w:line="500" w:lineRule="exact"/>
        <w:ind w:left="0" w:leftChars="0"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color w:val="000000"/>
          <w:sz w:val="24"/>
          <w:szCs w:val="24"/>
          <w:highlight w:val="none"/>
          <w:u w:val="none"/>
          <w:lang w:val="en-US" w:eastAsia="zh-CN" w:bidi="ar"/>
        </w:rPr>
        <w:t>第一，</w:t>
      </w:r>
      <w:r>
        <w:rPr>
          <w:rFonts w:hint="eastAsia" w:ascii="仿宋_GB2312" w:hAnsi="仿宋_GB2312" w:eastAsia="仿宋_GB2312" w:cs="仿宋_GB2312"/>
          <w:color w:val="000000"/>
          <w:sz w:val="24"/>
          <w:szCs w:val="24"/>
          <w:highlight w:val="none"/>
          <w:u w:val="none"/>
          <w:lang w:bidi="ar"/>
        </w:rPr>
        <w:t>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pStyle w:val="2"/>
        <w:pageBreakBefore w:val="0"/>
        <w:kinsoku/>
        <w:wordWrap/>
        <w:overflowPunct/>
        <w:topLinePunct w:val="0"/>
        <w:autoSpaceDE/>
        <w:autoSpaceDN/>
        <w:bidi w:val="0"/>
        <w:adjustRightInd/>
        <w:snapToGrid w:val="0"/>
        <w:spacing w:line="500" w:lineRule="exact"/>
        <w:ind w:firstLine="480"/>
        <w:textAlignment w:val="auto"/>
        <w:rPr>
          <w:rFonts w:hint="eastAsia" w:ascii="仿宋_GB2312" w:hAnsi="仿宋_GB2312" w:eastAsia="仿宋_GB2312" w:cs="仿宋_GB2312"/>
          <w:color w:val="000000"/>
          <w:sz w:val="24"/>
          <w:szCs w:val="24"/>
          <w:highlight w:val="none"/>
          <w:u w:val="none"/>
          <w:lang w:bidi="ar"/>
        </w:rPr>
      </w:pPr>
      <w:bookmarkStart w:id="1" w:name="bookmark87"/>
      <w:bookmarkEnd w:id="1"/>
      <w:r>
        <w:rPr>
          <w:rFonts w:hint="eastAsia" w:ascii="仿宋_GB2312" w:hAnsi="仿宋_GB2312" w:eastAsia="仿宋_GB2312" w:cs="仿宋_GB2312"/>
          <w:color w:val="000000"/>
          <w:sz w:val="24"/>
          <w:szCs w:val="24"/>
          <w:highlight w:val="none"/>
          <w:u w:val="none"/>
          <w:lang w:val="en-US" w:eastAsia="zh-CN" w:bidi="ar"/>
        </w:rPr>
        <w:t>第二，</w:t>
      </w:r>
      <w:r>
        <w:rPr>
          <w:rFonts w:hint="eastAsia" w:ascii="仿宋_GB2312" w:hAnsi="仿宋_GB2312" w:eastAsia="仿宋_GB2312" w:cs="仿宋_GB2312"/>
          <w:color w:val="000000"/>
          <w:sz w:val="24"/>
          <w:szCs w:val="24"/>
          <w:highlight w:val="none"/>
          <w:u w:val="none"/>
          <w:lang w:bidi="ar"/>
        </w:rPr>
        <w:t>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pStyle w:val="2"/>
        <w:pageBreakBefore w:val="0"/>
        <w:kinsoku/>
        <w:wordWrap/>
        <w:overflowPunct/>
        <w:topLinePunct w:val="0"/>
        <w:autoSpaceDE/>
        <w:autoSpaceDN/>
        <w:bidi w:val="0"/>
        <w:adjustRightInd/>
        <w:snapToGrid w:val="0"/>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bookmarkStart w:id="2" w:name="bookmark88"/>
      <w:bookmarkEnd w:id="2"/>
      <w:r>
        <w:rPr>
          <w:rFonts w:hint="eastAsia" w:ascii="仿宋_GB2312" w:hAnsi="仿宋_GB2312" w:eastAsia="仿宋_GB2312" w:cs="仿宋_GB2312"/>
          <w:color w:val="000000"/>
          <w:sz w:val="24"/>
          <w:szCs w:val="24"/>
          <w:highlight w:val="none"/>
          <w:u w:val="none"/>
          <w:lang w:val="en-US" w:eastAsia="zh-CN" w:bidi="ar"/>
        </w:rPr>
        <w:t>第三，</w:t>
      </w:r>
      <w:r>
        <w:rPr>
          <w:rFonts w:hint="eastAsia" w:ascii="仿宋_GB2312" w:hAnsi="仿宋_GB2312" w:eastAsia="仿宋_GB2312" w:cs="仿宋_GB2312"/>
          <w:color w:val="000000"/>
          <w:sz w:val="24"/>
          <w:szCs w:val="24"/>
          <w:highlight w:val="none"/>
          <w:u w:val="none"/>
          <w:lang w:bidi="ar"/>
        </w:rPr>
        <w:t>建立毕业生跟踪反馈机制及社会评价机制，并对生源情况、在校生学业水平、毕业生就业情况等进行分析，定期评价人才培养质量和培养目标达成情况。</w:t>
      </w:r>
      <w:bookmarkStart w:id="3" w:name="bookmark89"/>
      <w:bookmarkEnd w:id="3"/>
      <w:r>
        <w:rPr>
          <w:rFonts w:hint="eastAsia" w:ascii="仿宋_GB2312" w:hAnsi="仿宋_GB2312" w:eastAsia="仿宋_GB2312" w:cs="仿宋_GB2312"/>
          <w:color w:val="000000"/>
          <w:sz w:val="24"/>
          <w:szCs w:val="24"/>
          <w:highlight w:val="none"/>
          <w:u w:val="none"/>
          <w:lang w:bidi="ar"/>
        </w:rPr>
        <w:t>专业</w:t>
      </w:r>
      <w:r>
        <w:rPr>
          <w:rFonts w:hint="eastAsia" w:ascii="仿宋_GB2312" w:hAnsi="仿宋_GB2312" w:eastAsia="仿宋_GB2312" w:cs="仿宋_GB2312"/>
          <w:color w:val="000000"/>
          <w:sz w:val="24"/>
          <w:szCs w:val="24"/>
          <w:highlight w:val="none"/>
          <w:u w:val="none"/>
          <w:lang w:val="en-US" w:eastAsia="zh-CN" w:bidi="ar"/>
        </w:rPr>
        <w:t>建设委员会</w:t>
      </w:r>
      <w:r>
        <w:rPr>
          <w:rFonts w:hint="eastAsia" w:ascii="仿宋_GB2312" w:hAnsi="仿宋_GB2312" w:eastAsia="仿宋_GB2312" w:cs="仿宋_GB2312"/>
          <w:color w:val="000000"/>
          <w:sz w:val="24"/>
          <w:szCs w:val="24"/>
          <w:highlight w:val="none"/>
          <w:u w:val="none"/>
          <w:lang w:bidi="ar"/>
        </w:rPr>
        <w:t>充分利用评价分析结果有效改进专业教学，持续提高人才培养质量。</w:t>
      </w:r>
    </w:p>
    <w:p>
      <w:pPr>
        <w:pStyle w:val="3"/>
        <w:pageBreakBefore w:val="0"/>
        <w:numPr>
          <w:ilvl w:val="0"/>
          <w:numId w:val="4"/>
        </w:numPr>
        <w:kinsoku/>
        <w:wordWrap/>
        <w:overflowPunct/>
        <w:topLinePunct w:val="0"/>
        <w:autoSpaceDE/>
        <w:autoSpaceDN/>
        <w:bidi w:val="0"/>
        <w:adjustRightInd/>
        <w:snapToGrid w:val="0"/>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经费保障</w:t>
      </w:r>
    </w:p>
    <w:p>
      <w:pPr>
        <w:pStyle w:val="2"/>
        <w:pageBreakBefore w:val="0"/>
        <w:kinsoku/>
        <w:wordWrap/>
        <w:overflowPunct/>
        <w:topLinePunct w:val="0"/>
        <w:autoSpaceDE/>
        <w:autoSpaceDN/>
        <w:bidi w:val="0"/>
        <w:adjustRightInd/>
        <w:snapToGrid w:val="0"/>
        <w:spacing w:line="500" w:lineRule="exact"/>
        <w:ind w:firstLine="480" w:firstLineChars="200"/>
        <w:jc w:val="left"/>
        <w:textAlignment w:val="auto"/>
        <w:rPr>
          <w:rFonts w:hint="eastAsia" w:eastAsia="宋体"/>
          <w:sz w:val="24"/>
          <w:szCs w:val="24"/>
          <w:highlight w:val="none"/>
          <w:lang w:eastAsia="zh-CN"/>
        </w:rPr>
      </w:pPr>
      <w:r>
        <w:rPr>
          <w:rFonts w:hint="eastAsia" w:ascii="仿宋_GB2312" w:hAnsi="仿宋_GB2312" w:eastAsia="仿宋_GB2312" w:cs="仿宋_GB2312"/>
          <w:kern w:val="2"/>
          <w:sz w:val="24"/>
          <w:szCs w:val="24"/>
          <w:highlight w:val="none"/>
        </w:rPr>
        <w:t>学校成人高等学历教育有独立的账户，学费收入主要用于课酬、设备、场地等经费的支出，教学实施经费有保障。</w:t>
      </w:r>
    </w:p>
    <w:sectPr>
      <w:footerReference r:id="rId4" w:type="first"/>
      <w:footerReference r:id="rId3" w:type="default"/>
      <w:pgSz w:w="11906" w:h="16838"/>
      <w:pgMar w:top="1134" w:right="1134" w:bottom="1134" w:left="113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C115A"/>
    <w:multiLevelType w:val="singleLevel"/>
    <w:tmpl w:val="2E0C115A"/>
    <w:lvl w:ilvl="0" w:tentative="0">
      <w:start w:val="1"/>
      <w:numFmt w:val="chineseCounting"/>
      <w:suff w:val="nothing"/>
      <w:lvlText w:val="%1、"/>
      <w:lvlJc w:val="left"/>
      <w:pPr>
        <w:ind w:left="0" w:firstLine="420"/>
      </w:pPr>
      <w:rPr>
        <w:rFonts w:hint="eastAsia"/>
      </w:rPr>
    </w:lvl>
  </w:abstractNum>
  <w:abstractNum w:abstractNumId="1">
    <w:nsid w:val="3A581FAF"/>
    <w:multiLevelType w:val="singleLevel"/>
    <w:tmpl w:val="3A581FAF"/>
    <w:lvl w:ilvl="0" w:tentative="0">
      <w:start w:val="1"/>
      <w:numFmt w:val="chineseCounting"/>
      <w:suff w:val="nothing"/>
      <w:lvlText w:val="（%1）"/>
      <w:lvlJc w:val="left"/>
      <w:pPr>
        <w:ind w:left="0" w:firstLine="420"/>
      </w:pPr>
      <w:rPr>
        <w:rFonts w:hint="eastAsia"/>
      </w:rPr>
    </w:lvl>
  </w:abstractNum>
  <w:abstractNum w:abstractNumId="2">
    <w:nsid w:val="63BDB427"/>
    <w:multiLevelType w:val="singleLevel"/>
    <w:tmpl w:val="63BDB427"/>
    <w:lvl w:ilvl="0" w:tentative="0">
      <w:start w:val="1"/>
      <w:numFmt w:val="chineseCounting"/>
      <w:suff w:val="nothing"/>
      <w:lvlText w:val="（%1）"/>
      <w:lvlJc w:val="left"/>
      <w:pPr>
        <w:ind w:left="0" w:firstLine="420"/>
      </w:pPr>
      <w:rPr>
        <w:rFonts w:hint="eastAsia"/>
      </w:rPr>
    </w:lvl>
  </w:abstractNum>
  <w:abstractNum w:abstractNumId="3">
    <w:nsid w:val="66735EC8"/>
    <w:multiLevelType w:val="singleLevel"/>
    <w:tmpl w:val="66735EC8"/>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YmY5YmU4YTE1MDczMGExMTUzOGExNGQwMTJhOTQifQ=="/>
  </w:docVars>
  <w:rsids>
    <w:rsidRoot w:val="00000000"/>
    <w:rsid w:val="084B495D"/>
    <w:rsid w:val="0A0261CF"/>
    <w:rsid w:val="14B00D4D"/>
    <w:rsid w:val="1CCB5406"/>
    <w:rsid w:val="20076BC3"/>
    <w:rsid w:val="203A6BBA"/>
    <w:rsid w:val="30D1604E"/>
    <w:rsid w:val="3D5F3BA1"/>
    <w:rsid w:val="4500206E"/>
    <w:rsid w:val="531B3D29"/>
    <w:rsid w:val="5A6E799F"/>
    <w:rsid w:val="5B502B18"/>
    <w:rsid w:val="5EBD32A2"/>
    <w:rsid w:val="611670A9"/>
    <w:rsid w:val="61662223"/>
    <w:rsid w:val="628802A4"/>
    <w:rsid w:val="715A0A37"/>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7"/>
    <w:qFormat/>
    <w:locked/>
    <w:uiPriority w:val="0"/>
    <w:pPr>
      <w:keepNext/>
      <w:keepLines/>
      <w:spacing w:before="340" w:after="330" w:line="578" w:lineRule="auto"/>
      <w:outlineLvl w:val="0"/>
    </w:pPr>
    <w:rPr>
      <w:rFonts w:cs="Times New Roman"/>
      <w:b/>
      <w:bCs/>
      <w:kern w:val="44"/>
      <w:sz w:val="44"/>
      <w:szCs w:val="44"/>
    </w:rPr>
  </w:style>
  <w:style w:type="paragraph" w:styleId="4">
    <w:name w:val="heading 2"/>
    <w:basedOn w:val="1"/>
    <w:next w:val="1"/>
    <w:link w:val="18"/>
    <w:qFormat/>
    <w:uiPriority w:val="9"/>
    <w:pPr>
      <w:keepNext/>
      <w:keepLines/>
      <w:spacing w:line="460" w:lineRule="exact"/>
      <w:ind w:left="480" w:leftChars="200"/>
      <w:outlineLvl w:val="1"/>
    </w:pPr>
    <w:rPr>
      <w:rFonts w:ascii="Cambria" w:hAnsi="Cambria" w:cs="Times New Roman"/>
      <w:b/>
      <w:bCs/>
      <w:kern w:val="0"/>
      <w:sz w:val="32"/>
      <w:szCs w:val="32"/>
    </w:rPr>
  </w:style>
  <w:style w:type="paragraph" w:styleId="5">
    <w:name w:val="heading 4"/>
    <w:basedOn w:val="1"/>
    <w:next w:val="1"/>
    <w:link w:val="28"/>
    <w:unhideWhenUsed/>
    <w:qFormat/>
    <w:locked/>
    <w:uiPriority w:val="0"/>
    <w:pPr>
      <w:keepNext/>
      <w:keepLines/>
      <w:spacing w:before="280" w:after="290" w:line="376" w:lineRule="auto"/>
      <w:outlineLvl w:val="3"/>
    </w:pPr>
    <w:rPr>
      <w:rFonts w:ascii="Cambria" w:hAnsi="Cambria" w:cs="Times New Roman"/>
      <w:b/>
      <w:bCs/>
      <w:sz w:val="28"/>
      <w:szCs w:val="28"/>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6">
    <w:name w:val="Date"/>
    <w:basedOn w:val="1"/>
    <w:next w:val="1"/>
    <w:link w:val="19"/>
    <w:qFormat/>
    <w:uiPriority w:val="99"/>
    <w:pPr>
      <w:ind w:left="100" w:leftChars="2500"/>
    </w:pPr>
    <w:rPr>
      <w:rFonts w:cs="Times New Roman"/>
      <w:kern w:val="0"/>
      <w:sz w:val="20"/>
      <w:szCs w:val="20"/>
    </w:rPr>
  </w:style>
  <w:style w:type="paragraph" w:styleId="7">
    <w:name w:val="Balloon Text"/>
    <w:basedOn w:val="1"/>
    <w:link w:val="20"/>
    <w:semiHidden/>
    <w:qFormat/>
    <w:uiPriority w:val="99"/>
    <w:rPr>
      <w:rFonts w:cs="Times New Roman"/>
      <w:kern w:val="0"/>
      <w:sz w:val="18"/>
      <w:szCs w:val="18"/>
    </w:rPr>
  </w:style>
  <w:style w:type="paragraph" w:styleId="8">
    <w:name w:val="footer"/>
    <w:basedOn w:val="1"/>
    <w:link w:val="21"/>
    <w:qFormat/>
    <w:uiPriority w:val="99"/>
    <w:pPr>
      <w:tabs>
        <w:tab w:val="center" w:pos="4153"/>
        <w:tab w:val="right" w:pos="8306"/>
      </w:tabs>
      <w:snapToGrid w:val="0"/>
      <w:jc w:val="left"/>
    </w:pPr>
    <w:rPr>
      <w:rFonts w:cs="Times New Roman"/>
      <w:kern w:val="0"/>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0">
    <w:name w:val="toc 1"/>
    <w:basedOn w:val="1"/>
    <w:next w:val="1"/>
    <w:qFormat/>
    <w:locked/>
    <w:uiPriority w:val="39"/>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6"/>
    <w:qFormat/>
    <w:locked/>
    <w:uiPriority w:val="0"/>
    <w:pPr>
      <w:spacing w:before="240" w:after="60" w:line="460" w:lineRule="exact"/>
      <w:ind w:firstLine="200" w:firstLineChars="200"/>
      <w:jc w:val="center"/>
      <w:outlineLvl w:val="0"/>
    </w:pPr>
    <w:rPr>
      <w:rFonts w:ascii="Cambria" w:hAnsi="Cambria" w:eastAsia="黑体" w:cs="Times New Roman"/>
      <w:b/>
      <w:bCs/>
      <w:kern w:val="0"/>
      <w:sz w:val="36"/>
      <w:szCs w:val="3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99"/>
    <w:rPr>
      <w:b/>
      <w:bCs/>
    </w:rPr>
  </w:style>
  <w:style w:type="character" w:styleId="17">
    <w:name w:val="Hyperlink"/>
    <w:qFormat/>
    <w:uiPriority w:val="99"/>
    <w:rPr>
      <w:color w:val="0000FF"/>
      <w:u w:val="single"/>
    </w:rPr>
  </w:style>
  <w:style w:type="character" w:customStyle="1" w:styleId="18">
    <w:name w:val="标题 2 字符"/>
    <w:link w:val="4"/>
    <w:semiHidden/>
    <w:qFormat/>
    <w:uiPriority w:val="9"/>
    <w:rPr>
      <w:rFonts w:ascii="Cambria" w:hAnsi="Cambria" w:eastAsia="宋体" w:cs="Times New Roman"/>
      <w:b/>
      <w:bCs/>
      <w:sz w:val="32"/>
      <w:szCs w:val="32"/>
    </w:rPr>
  </w:style>
  <w:style w:type="character" w:customStyle="1" w:styleId="19">
    <w:name w:val="日期 字符"/>
    <w:link w:val="6"/>
    <w:semiHidden/>
    <w:qFormat/>
    <w:locked/>
    <w:uiPriority w:val="99"/>
    <w:rPr>
      <w:rFonts w:ascii="Calibri" w:hAnsi="Calibri" w:eastAsia="宋体" w:cs="Calibri"/>
    </w:rPr>
  </w:style>
  <w:style w:type="character" w:customStyle="1" w:styleId="20">
    <w:name w:val="批注框文本 字符"/>
    <w:link w:val="7"/>
    <w:semiHidden/>
    <w:qFormat/>
    <w:locked/>
    <w:uiPriority w:val="99"/>
    <w:rPr>
      <w:rFonts w:ascii="Calibri" w:hAnsi="Calibri" w:eastAsia="宋体" w:cs="Calibri"/>
      <w:sz w:val="18"/>
      <w:szCs w:val="18"/>
    </w:rPr>
  </w:style>
  <w:style w:type="character" w:customStyle="1" w:styleId="21">
    <w:name w:val="页脚 字符"/>
    <w:link w:val="8"/>
    <w:qFormat/>
    <w:locked/>
    <w:uiPriority w:val="99"/>
    <w:rPr>
      <w:rFonts w:ascii="Calibri" w:hAnsi="Calibri" w:eastAsia="宋体" w:cs="Calibri"/>
      <w:sz w:val="18"/>
      <w:szCs w:val="18"/>
    </w:rPr>
  </w:style>
  <w:style w:type="character" w:customStyle="1" w:styleId="22">
    <w:name w:val="页眉 字符"/>
    <w:link w:val="9"/>
    <w:qFormat/>
    <w:locked/>
    <w:uiPriority w:val="99"/>
    <w:rPr>
      <w:rFonts w:ascii="Calibri" w:hAnsi="Calibri" w:eastAsia="宋体" w:cs="Calibri"/>
      <w:sz w:val="18"/>
      <w:szCs w:val="18"/>
    </w:rPr>
  </w:style>
  <w:style w:type="paragraph" w:customStyle="1" w:styleId="23">
    <w:name w:val="Char Char Char Char"/>
    <w:basedOn w:val="1"/>
    <w:qFormat/>
    <w:uiPriority w:val="99"/>
    <w:pPr>
      <w:widowControl/>
      <w:spacing w:after="160" w:line="240" w:lineRule="exact"/>
      <w:jc w:val="left"/>
    </w:pPr>
    <w:rPr>
      <w:rFonts w:ascii="Tahoma" w:hAnsi="Tahoma" w:cs="Tahoma"/>
      <w:kern w:val="0"/>
      <w:sz w:val="20"/>
      <w:szCs w:val="20"/>
      <w:lang w:eastAsia="en-US"/>
    </w:rPr>
  </w:style>
  <w:style w:type="paragraph" w:customStyle="1" w:styleId="24">
    <w:name w:val="List Paragraph1"/>
    <w:basedOn w:val="1"/>
    <w:qFormat/>
    <w:uiPriority w:val="99"/>
    <w:pPr>
      <w:ind w:firstLine="420" w:firstLineChars="200"/>
    </w:pPr>
  </w:style>
  <w:style w:type="paragraph" w:customStyle="1" w:styleId="25">
    <w:name w:val="p0"/>
    <w:basedOn w:val="1"/>
    <w:qFormat/>
    <w:uiPriority w:val="99"/>
    <w:pPr>
      <w:widowControl/>
    </w:pPr>
    <w:rPr>
      <w:kern w:val="0"/>
    </w:rPr>
  </w:style>
  <w:style w:type="character" w:customStyle="1" w:styleId="26">
    <w:name w:val="标题 字符"/>
    <w:link w:val="12"/>
    <w:qFormat/>
    <w:uiPriority w:val="0"/>
    <w:rPr>
      <w:rFonts w:ascii="Cambria" w:hAnsi="Cambria" w:eastAsia="黑体" w:cs="Times New Roman"/>
      <w:b/>
      <w:bCs/>
      <w:sz w:val="36"/>
      <w:szCs w:val="32"/>
    </w:rPr>
  </w:style>
  <w:style w:type="character" w:customStyle="1" w:styleId="27">
    <w:name w:val="标题 1 字符"/>
    <w:link w:val="3"/>
    <w:qFormat/>
    <w:uiPriority w:val="0"/>
    <w:rPr>
      <w:rFonts w:ascii="Calibri" w:hAnsi="Calibri" w:cs="Calibri"/>
      <w:b/>
      <w:bCs/>
      <w:kern w:val="44"/>
      <w:sz w:val="44"/>
      <w:szCs w:val="44"/>
    </w:rPr>
  </w:style>
  <w:style w:type="character" w:customStyle="1" w:styleId="28">
    <w:name w:val="标题 4 字符"/>
    <w:link w:val="5"/>
    <w:semiHidden/>
    <w:qFormat/>
    <w:uiPriority w:val="0"/>
    <w:rPr>
      <w:rFonts w:ascii="Cambria" w:hAnsi="Cambria" w:eastAsia="宋体" w:cs="Times New Roman"/>
      <w:b/>
      <w:bCs/>
      <w:kern w:val="2"/>
      <w:sz w:val="28"/>
      <w:szCs w:val="28"/>
    </w:rPr>
  </w:style>
  <w:style w:type="paragraph" w:customStyle="1" w:styleId="29">
    <w:name w:val="表格内容"/>
    <w:basedOn w:val="1"/>
    <w:qFormat/>
    <w:uiPriority w:val="0"/>
    <w:pPr>
      <w:overflowPunct w:val="0"/>
      <w:adjustRightInd w:val="0"/>
      <w:snapToGrid w:val="0"/>
      <w:jc w:val="center"/>
    </w:pPr>
    <w:rPr>
      <w:rFonts w:ascii="仿宋" w:hAnsi="仿宋" w:cs="仿宋"/>
      <w:szCs w:val="30"/>
    </w:rPr>
  </w:style>
  <w:style w:type="table" w:customStyle="1" w:styleId="3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13</Pages>
  <Words>9143</Words>
  <Characters>9753</Characters>
  <Lines>33</Lines>
  <Paragraphs>9</Paragraphs>
  <TotalTime>10</TotalTime>
  <ScaleCrop>false</ScaleCrop>
  <LinksUpToDate>false</LinksUpToDate>
  <CharactersWithSpaces>9835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2020-04-13T13:45:00Z</dcterms:created>
  <dc:creator>林燕</dc:creator>
  <cp:lastModifiedBy>小李老师</cp:lastModifiedBy>
  <cp:lastPrinted>2018-12-27T10:38:00Z</cp:lastPrinted>
  <dcterms:modified xsi:type="dcterms:W3CDTF">2023-06-27T01:30:39Z</dcterms:modified>
  <dc:title>2020级金融管理专业人才培养方案</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7B0065A1495F47B590FB2E923E89495A_13</vt:lpwstr>
  </property>
</Properties>
</file>